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80" w:before="400"/>
        <w:jc w:val="center"/>
      </w:pPr>
      <w:r>
        <w:rPr>
          <w:b/>
          <w:bCs/>
          <w:color w:val="1F2A38"/>
          <w:sz w:val="38"/>
          <w:szCs w:val="38"/>
        </w:rPr>
        <w:t xml:space="preserve">Computational Reproduction and Errata Audit</w:t>
      </w:r>
    </w:p>
    <w:p>
      <w:pPr>
        <w:spacing w:after="80"/>
        <w:jc w:val="center"/>
      </w:pPr>
      <w:r>
        <w:rPr>
          <w:color w:val="3D4F63"/>
          <w:sz w:val="26"/>
          <w:szCs w:val="26"/>
        </w:rPr>
        <w:t xml:space="preserve">Three CAMS Working Papers</w:t>
      </w:r>
    </w:p>
    <w:p>
      <w:pPr>
        <w:spacing w:after="40"/>
        <w:jc w:val="center"/>
      </w:pPr>
      <w:r>
        <w:rPr>
          <w:i/>
          <w:iCs/>
          <w:color w:val="555555"/>
          <w:sz w:val="21"/>
          <w:szCs w:val="21"/>
        </w:rPr>
        <w:t xml:space="preserve">Scale-Recursion Hypothesis  ·  Operator Portability Proposition  ·  The Soil-Bond Index (ηsoil)</w:t>
      </w:r>
    </w:p>
    <w:p>
      <w:pPr>
        <w:spacing w:after="20" w:before="240"/>
        <w:jc w:val="center"/>
      </w:pPr>
      <w:r>
        <w:rPr>
          <w:sz w:val="20"/>
          <w:szCs w:val="20"/>
        </w:rPr>
        <w:t xml:space="preserve">Prepared for Neural Nations Research / ComplexityWorkz</w:t>
      </w:r>
    </w:p>
    <w:p>
      <w:pPr>
        <w:spacing w:after="20"/>
        <w:jc w:val="center"/>
      </w:pPr>
      <w:r>
        <w:rPr>
          <w:b/>
          <w:bCs/>
          <w:sz w:val="20"/>
          <w:szCs w:val="20"/>
        </w:rPr>
        <w:t xml:space="preserve">Version 2 — 31 July 2026 (supersedes v1, same date)</w:t>
      </w:r>
    </w:p>
    <w:p>
      <w:pPr>
        <w:spacing w:after="360"/>
        <w:jc w:val="center"/>
      </w:pPr>
      <w:r>
        <w:rPr>
          <w:i/>
          <w:iCs/>
          <w:color w:val="777777"/>
          <w:sz w:val="19"/>
          <w:szCs w:val="19"/>
        </w:rPr>
        <w:t xml:space="preserve">Computational verification performed by Claude (Anthropic) at the author's request</w:t>
      </w:r>
    </w:p>
    <w:p>
      <w:pPr>
        <w:pStyle w:val="Heading2"/>
        <w:spacing w:after="120" w:before="280"/>
      </w:pPr>
      <w:r>
        <w:t xml:space="preserve">Revision note</w:t>
      </w:r>
    </w:p>
    <w:p>
      <w:pPr>
        <w:spacing w:after="160" w:line="276"/>
      </w:pPr>
      <w:r>
        <w:rPr>
          <w:b w:val="false"/>
          <w:bCs w:val="false"/>
          <w:i w:val="false"/>
          <w:iCs w:val="false"/>
          <w:sz w:val="22"/>
          <w:szCs w:val="22"/>
        </w:rPr>
        <w:t xml:space="preserve">Version 1 of this document was titled “Independent Data-Traceability Audit.” That title promised more than v1 delivered. Version 1 established that each paper's reported statistics are reproducible from its named source file; it did not check whether those source files were complete, whether the reported test statistics corresponded to any standard test, whether the annual observations satisfy the independence assumption those tests require, or whether the metrics under test add information beyond their own components. All four omissions are material, and one of them — data completeness — sits inside the scope v1 claimed for itself, not outside it.</w:t>
      </w:r>
    </w:p>
    <w:p>
      <w:pPr>
        <w:spacing w:after="160" w:line="276"/>
      </w:pPr>
      <w:r>
        <w:rPr>
          <w:b w:val="false"/>
          <w:bCs w:val="false"/>
          <w:i w:val="false"/>
          <w:iCs w:val="false"/>
          <w:sz w:val="22"/>
          <w:szCs w:val="22"/>
        </w:rPr>
        <w:t xml:space="preserve">Version 2 was prompted by a second independent review which identified eight further problems. Every one of that review's numerical claims was recomputed here and confirmed. This version adds those items to the errata, adds four checks v1 should have run, restates the assessment in §6, and renames the document to match what it actually establishes.</w:t>
      </w:r>
    </w:p>
    <w:p>
      <w:pPr>
        <w:spacing w:after="160" w:line="276"/>
      </w:pPr>
      <w:r>
        <w:rPr>
          <w:b w:val="false"/>
          <w:bCs w:val="false"/>
          <w:i w:val="false"/>
          <w:iCs w:val="false"/>
          <w:sz w:val="22"/>
          <w:szCs w:val="22"/>
        </w:rPr>
        <w:t xml:space="preserve">The two reviews now agree on every recomputed quantity. Where they initially differed — the circular-shift p-values — the discrepancy has been traced and resolved (§5.4).</w:t>
      </w:r>
    </w:p>
    <w:p>
      <w:pPr>
        <w:pStyle w:val="Heading2"/>
        <w:spacing w:after="120" w:before="280"/>
      </w:pPr>
      <w:r>
        <w:t xml:space="preserve">Purpose and scope</w:t>
      </w:r>
    </w:p>
    <w:p>
      <w:pPr>
        <w:spacing w:after="160" w:line="276"/>
      </w:pPr>
      <w:r>
        <w:rPr>
          <w:b w:val="false"/>
          <w:bCs w:val="false"/>
          <w:i w:val="false"/>
          <w:iCs w:val="false"/>
          <w:sz w:val="22"/>
          <w:szCs w:val="22"/>
        </w:rPr>
        <w:t xml:space="preserve">This report documents a computational audit of three working papers in the CAMS research programme. Every statistic below was recomputed independently from the underlying raw ensemble node scores (Coherence, Capacity, Stress, Abstraction) — never from a paper's summary tables or stored derived columns — using each paper's own stated canonical formulas.</w:t>
      </w:r>
    </w:p>
    <w:p>
      <w:pPr>
        <w:spacing w:after="160" w:line="276"/>
      </w:pPr>
      <w:r>
        <w:rPr>
          <w:b w:val="false"/>
          <w:bCs w:val="false"/>
          <w:i w:val="false"/>
          <w:iCs w:val="false"/>
          <w:sz w:val="22"/>
          <w:szCs w:val="22"/>
        </w:rPr>
        <w:t xml:space="preserve">What this audit establishes: that the canonical CAMS operators are correctly specified and correctly computed; that the reported figures are, with the exceptions listed in §4, faithfully transcribed from the named files; and that four of the six ηsoil source files supplied are the files the paper was computed on.</w:t>
      </w:r>
    </w:p>
    <w:p>
      <w:pPr>
        <w:spacing w:after="160" w:line="276"/>
      </w:pPr>
      <w:r>
        <w:rPr>
          <w:b w:val="false"/>
          <w:bCs w:val="false"/>
          <w:i w:val="false"/>
          <w:iCs w:val="false"/>
          <w:sz w:val="22"/>
          <w:szCs w:val="22"/>
        </w:rPr>
        <w:t xml:space="preserve">What this audit does not establish: that the node scores are accurate readings of institutional history; that ηsoil carries information beyond simpler CAMS quantities (§5.2 indicates it does not); that the crisis discrimination reported is predictive rather than concurrent; or that scale covariance has been tested by these papers (§5.3).</w:t>
      </w:r>
    </w:p>
    <w:p>
      <w:r>
        <w:br w:type="page"/>
      </w:r>
    </w:p>
    <w:p>
      <w:pPr>
        <w:pStyle w:val="Heading2"/>
        <w:spacing w:after="120" w:before="280"/>
      </w:pPr>
      <w:r>
        <w:t xml:space="preserve">Methodology</w:t>
      </w:r>
    </w:p>
    <w:p>
      <w:pPr>
        <w:spacing w:after="160" w:line="276"/>
      </w:pPr>
      <w:r>
        <w:rPr>
          <w:b w:val="false"/>
          <w:bCs w:val="false"/>
          <w:i w:val="false"/>
          <w:iCs w:val="false"/>
          <w:sz w:val="22"/>
          <w:szCs w:val="22"/>
        </w:rPr>
        <w:t xml:space="preserve">Canonical operators, as specified in the source papers:</w:t>
      </w:r>
    </w:p>
    <w:p>
      <w:pPr>
        <w:spacing w:after="160" w:line="276"/>
      </w:pPr>
      <w:r>
        <w:rPr>
          <w:b w:val="false"/>
          <w:bCs w:val="false"/>
          <w:i w:val="false"/>
          <w:iCs w:val="false"/>
          <w:sz w:val="22"/>
          <w:szCs w:val="22"/>
        </w:rPr>
        <w:t xml:space="preserve">V</w:t>
      </w:r>
      <w:r>
        <w:rPr>
          <w:b w:val="false"/>
          <w:bCs w:val="false"/>
          <w:i w:val="false"/>
          <w:iCs w:val="false"/>
          <w:sz w:val="16"/>
          <w:szCs w:val="16"/>
          <w:vertAlign w:val="subscript"/>
        </w:rPr>
        <w:t xml:space="preserve">i</w:t>
      </w:r>
      <w:r>
        <w:rPr>
          <w:b w:val="false"/>
          <w:bCs w:val="false"/>
          <w:i w:val="false"/>
          <w:iCs w:val="false"/>
          <w:sz w:val="22"/>
          <w:szCs w:val="22"/>
        </w:rPr>
        <w:t xml:space="preserve"> = C</w:t>
      </w:r>
      <w:r>
        <w:rPr>
          <w:b w:val="false"/>
          <w:bCs w:val="false"/>
          <w:i w:val="false"/>
          <w:iCs w:val="false"/>
          <w:sz w:val="16"/>
          <w:szCs w:val="16"/>
          <w:vertAlign w:val="subscript"/>
        </w:rPr>
        <w:t xml:space="preserve">i</w:t>
      </w:r>
      <w:r>
        <w:rPr>
          <w:b w:val="false"/>
          <w:bCs w:val="false"/>
          <w:i w:val="false"/>
          <w:iCs w:val="false"/>
          <w:sz w:val="22"/>
          <w:szCs w:val="22"/>
        </w:rPr>
        <w:t xml:space="preserve"> + K</w:t>
      </w:r>
      <w:r>
        <w:rPr>
          <w:b w:val="false"/>
          <w:bCs w:val="false"/>
          <w:i w:val="false"/>
          <w:iCs w:val="false"/>
          <w:sz w:val="16"/>
          <w:szCs w:val="16"/>
          <w:vertAlign w:val="subscript"/>
        </w:rPr>
        <w:t xml:space="preserve">i</w:t>
      </w:r>
      <w:r>
        <w:rPr>
          <w:b w:val="false"/>
          <w:bCs w:val="false"/>
          <w:i w:val="false"/>
          <w:iCs w:val="false"/>
          <w:sz w:val="22"/>
          <w:szCs w:val="22"/>
        </w:rPr>
        <w:t xml:space="preserve"> − S</w:t>
      </w:r>
      <w:r>
        <w:rPr>
          <w:b w:val="false"/>
          <w:bCs w:val="false"/>
          <w:i w:val="false"/>
          <w:iCs w:val="false"/>
          <w:sz w:val="16"/>
          <w:szCs w:val="16"/>
          <w:vertAlign w:val="subscript"/>
        </w:rPr>
        <w:t xml:space="preserve">i</w:t>
      </w:r>
      <w:r>
        <w:rPr>
          <w:b w:val="false"/>
          <w:bCs w:val="false"/>
          <w:i w:val="false"/>
          <w:iCs w:val="false"/>
          <w:sz w:val="22"/>
          <w:szCs w:val="22"/>
        </w:rPr>
        <w:t xml:space="preserve"> + 0.5A</w:t>
      </w:r>
      <w:r>
        <w:rPr>
          <w:b w:val="false"/>
          <w:bCs w:val="false"/>
          <w:i w:val="false"/>
          <w:iCs w:val="false"/>
          <w:sz w:val="16"/>
          <w:szCs w:val="16"/>
          <w:vertAlign w:val="subscript"/>
        </w:rPr>
        <w:t xml:space="preserve">i</w:t>
      </w:r>
      <w:r>
        <w:rPr>
          <w:b w:val="false"/>
          <w:bCs w:val="false"/>
          <w:i w:val="false"/>
          <w:iCs w:val="false"/>
          <w:sz w:val="22"/>
          <w:szCs w:val="22"/>
        </w:rPr>
        <w:t xml:space="preserve">     q</w:t>
      </w:r>
      <w:r>
        <w:rPr>
          <w:b w:val="false"/>
          <w:bCs w:val="false"/>
          <w:i w:val="false"/>
          <w:iCs w:val="false"/>
          <w:sz w:val="16"/>
          <w:szCs w:val="16"/>
          <w:vertAlign w:val="subscript"/>
        </w:rPr>
        <w:t xml:space="preserve">i</w:t>
      </w:r>
      <w:r>
        <w:rPr>
          <w:b w:val="false"/>
          <w:bCs w:val="false"/>
          <w:i w:val="false"/>
          <w:iCs w:val="false"/>
          <w:sz w:val="22"/>
          <w:szCs w:val="22"/>
        </w:rPr>
        <w:t xml:space="preserve"> = (0.6C</w:t>
      </w:r>
      <w:r>
        <w:rPr>
          <w:b w:val="false"/>
          <w:bCs w:val="false"/>
          <w:i w:val="false"/>
          <w:iCs w:val="false"/>
          <w:sz w:val="16"/>
          <w:szCs w:val="16"/>
          <w:vertAlign w:val="subscript"/>
        </w:rPr>
        <w:t xml:space="preserve">i</w:t>
      </w:r>
      <w:r>
        <w:rPr>
          <w:b w:val="false"/>
          <w:bCs w:val="false"/>
          <w:i w:val="false"/>
          <w:iCs w:val="false"/>
          <w:sz w:val="22"/>
          <w:szCs w:val="22"/>
        </w:rPr>
        <w:t xml:space="preserve"> + 0.4A</w:t>
      </w:r>
      <w:r>
        <w:rPr>
          <w:b w:val="false"/>
          <w:bCs w:val="false"/>
          <w:i w:val="false"/>
          <w:iCs w:val="false"/>
          <w:sz w:val="16"/>
          <w:szCs w:val="16"/>
          <w:vertAlign w:val="subscript"/>
        </w:rPr>
        <w:t xml:space="preserve">i</w:t>
      </w:r>
      <w:r>
        <w:rPr>
          <w:b w:val="false"/>
          <w:bCs w:val="false"/>
          <w:i w:val="false"/>
          <w:iCs w:val="false"/>
          <w:sz w:val="22"/>
          <w:szCs w:val="22"/>
        </w:rPr>
        <w:t xml:space="preserve">)/10</w:t>
      </w:r>
    </w:p>
    <w:p>
      <w:pPr>
        <w:spacing w:after="160" w:line="276"/>
      </w:pPr>
      <w:r>
        <w:rPr>
          <w:b w:val="false"/>
          <w:bCs w:val="false"/>
          <w:i w:val="false"/>
          <w:iCs w:val="false"/>
          <w:sz w:val="22"/>
          <w:szCs w:val="22"/>
        </w:rPr>
        <w:t xml:space="preserve">W</w:t>
      </w:r>
      <w:r>
        <w:rPr>
          <w:b w:val="false"/>
          <w:bCs w:val="false"/>
          <w:i w:val="false"/>
          <w:iCs w:val="false"/>
          <w:sz w:val="16"/>
          <w:szCs w:val="16"/>
          <w:vertAlign w:val="subscript"/>
        </w:rPr>
        <w:t xml:space="preserve">ij</w:t>
      </w:r>
      <w:r>
        <w:rPr>
          <w:b w:val="false"/>
          <w:bCs w:val="false"/>
          <w:i w:val="false"/>
          <w:iCs w:val="false"/>
          <w:sz w:val="22"/>
          <w:szCs w:val="22"/>
        </w:rPr>
        <w:t xml:space="preserve"> = √(q</w:t>
      </w:r>
      <w:r>
        <w:rPr>
          <w:b w:val="false"/>
          <w:bCs w:val="false"/>
          <w:i w:val="false"/>
          <w:iCs w:val="false"/>
          <w:sz w:val="16"/>
          <w:szCs w:val="16"/>
          <w:vertAlign w:val="subscript"/>
        </w:rPr>
        <w:t xml:space="preserve">i</w:t>
      </w:r>
      <w:r>
        <w:rPr>
          <w:b w:val="false"/>
          <w:bCs w:val="false"/>
          <w:i w:val="false"/>
          <w:iCs w:val="false"/>
          <w:sz w:val="22"/>
          <w:szCs w:val="22"/>
        </w:rPr>
        <w:t xml:space="preserve">q</w:t>
      </w:r>
      <w:r>
        <w:rPr>
          <w:b w:val="false"/>
          <w:bCs w:val="false"/>
          <w:i w:val="false"/>
          <w:iCs w:val="false"/>
          <w:sz w:val="16"/>
          <w:szCs w:val="16"/>
          <w:vertAlign w:val="subscript"/>
        </w:rPr>
        <w:t xml:space="preserve">j</w:t>
      </w:r>
      <w:r>
        <w:rPr>
          <w:b w:val="false"/>
          <w:bCs w:val="false"/>
          <w:i w:val="false"/>
          <w:iCs w:val="false"/>
          <w:sz w:val="22"/>
          <w:szCs w:val="22"/>
        </w:rPr>
        <w:t xml:space="preserve">) · 2</w:t>
      </w:r>
      <w:r>
        <w:rPr>
          <w:b w:val="false"/>
          <w:bCs w:val="false"/>
          <w:i w:val="false"/>
          <w:iCs w:val="false"/>
          <w:sz w:val="16"/>
          <w:szCs w:val="16"/>
        </w:rPr>
        <w:t xml:space="preserve">−(Si+Sj)/10</w:t>
      </w:r>
      <w:r>
        <w:rPr>
          <w:b w:val="false"/>
          <w:bCs w:val="false"/>
          <w:i w:val="false"/>
          <w:iCs w:val="false"/>
          <w:sz w:val="22"/>
          <w:szCs w:val="22"/>
        </w:rPr>
        <w:t xml:space="preserve">     B̄ = 2/N(N−1) · Σ</w:t>
      </w:r>
      <w:r>
        <w:rPr>
          <w:b w:val="false"/>
          <w:bCs w:val="false"/>
          <w:i w:val="false"/>
          <w:iCs w:val="false"/>
          <w:sz w:val="16"/>
          <w:szCs w:val="16"/>
          <w:vertAlign w:val="subscript"/>
        </w:rPr>
        <w:t xml:space="preserve">i&lt;j</w:t>
      </w:r>
      <w:r>
        <w:rPr>
          <w:b w:val="false"/>
          <w:bCs w:val="false"/>
          <w:i w:val="false"/>
          <w:iCs w:val="false"/>
          <w:sz w:val="22"/>
          <w:szCs w:val="22"/>
        </w:rPr>
        <w:t xml:space="preserve"> W</w:t>
      </w:r>
      <w:r>
        <w:rPr>
          <w:b w:val="false"/>
          <w:bCs w:val="false"/>
          <w:i w:val="false"/>
          <w:iCs w:val="false"/>
          <w:sz w:val="16"/>
          <w:szCs w:val="16"/>
          <w:vertAlign w:val="subscript"/>
        </w:rPr>
        <w:t xml:space="preserve">ij</w:t>
      </w:r>
      <w:r>
        <w:rPr>
          <w:b w:val="false"/>
          <w:bCs w:val="false"/>
          <w:i w:val="false"/>
          <w:iCs w:val="false"/>
          <w:sz w:val="22"/>
          <w:szCs w:val="22"/>
        </w:rPr>
        <w:t xml:space="preserve">     λ₂ = second-smallest eigenvalue of L = D − W</w:t>
      </w:r>
    </w:p>
    <w:p>
      <w:pPr>
        <w:spacing w:after="160" w:line="276"/>
      </w:pPr>
      <w:r>
        <w:rPr>
          <w:b w:val="false"/>
          <w:bCs w:val="false"/>
          <w:i w:val="false"/>
          <w:iCs w:val="false"/>
          <w:sz w:val="22"/>
          <w:szCs w:val="22"/>
        </w:rPr>
        <w:t xml:space="preserve">σ</w:t>
      </w:r>
      <w:r>
        <w:rPr>
          <w:b w:val="false"/>
          <w:bCs w:val="false"/>
          <w:i w:val="false"/>
          <w:iCs w:val="false"/>
          <w:sz w:val="16"/>
          <w:szCs w:val="16"/>
          <w:vertAlign w:val="subscript"/>
        </w:rPr>
        <w:t xml:space="preserve">V</w:t>
      </w:r>
      <w:r>
        <w:rPr>
          <w:b w:val="false"/>
          <w:bCs w:val="false"/>
          <w:i w:val="false"/>
          <w:iCs w:val="false"/>
          <w:sz w:val="22"/>
          <w:szCs w:val="22"/>
        </w:rPr>
        <w:t xml:space="preserve"> = population SD of V</w:t>
      </w:r>
      <w:r>
        <w:rPr>
          <w:b w:val="false"/>
          <w:bCs w:val="false"/>
          <w:i w:val="false"/>
          <w:iCs w:val="false"/>
          <w:sz w:val="16"/>
          <w:szCs w:val="16"/>
          <w:vertAlign w:val="subscript"/>
        </w:rPr>
        <w:t xml:space="preserve">i</w:t>
      </w:r>
      <w:r>
        <w:rPr>
          <w:b w:val="false"/>
          <w:bCs w:val="false"/>
          <w:i w:val="false"/>
          <w:iCs w:val="false"/>
          <w:sz w:val="22"/>
          <w:szCs w:val="22"/>
        </w:rPr>
        <w:t xml:space="preserve"> across the 8 nodes (ddof = 0)</w:t>
      </w:r>
    </w:p>
    <w:p>
      <w:pPr>
        <w:spacing w:after="160" w:line="276"/>
      </w:pPr>
      <w:r>
        <w:rPr>
          <w:b w:val="false"/>
          <w:bCs w:val="false"/>
          <w:i w:val="false"/>
          <w:iCs w:val="false"/>
          <w:sz w:val="22"/>
          <w:szCs w:val="22"/>
        </w:rPr>
        <w:t xml:space="preserve">η</w:t>
      </w:r>
      <w:r>
        <w:rPr>
          <w:b w:val="false"/>
          <w:bCs w:val="false"/>
          <w:i w:val="false"/>
          <w:iCs w:val="false"/>
          <w:sz w:val="16"/>
          <w:szCs w:val="16"/>
          <w:vertAlign w:val="subscript"/>
        </w:rPr>
        <w:t xml:space="preserve">soil</w:t>
      </w:r>
      <w:r>
        <w:rPr>
          <w:b w:val="false"/>
          <w:bCs w:val="false"/>
          <w:i w:val="false"/>
          <w:iCs w:val="false"/>
          <w:sz w:val="22"/>
          <w:szCs w:val="22"/>
        </w:rPr>
        <w:t xml:space="preserve"> = [BS</w:t>
      </w:r>
      <w:r>
        <w:rPr>
          <w:b w:val="false"/>
          <w:bCs w:val="false"/>
          <w:i w:val="false"/>
          <w:iCs w:val="false"/>
          <w:sz w:val="16"/>
          <w:szCs w:val="16"/>
          <w:vertAlign w:val="subscript"/>
        </w:rPr>
        <w:t xml:space="preserve">Lore</w:t>
      </w:r>
      <w:r>
        <w:rPr>
          <w:b w:val="false"/>
          <w:bCs w:val="false"/>
          <w:i w:val="false"/>
          <w:iCs w:val="false"/>
          <w:sz w:val="22"/>
          <w:szCs w:val="22"/>
        </w:rPr>
        <w:t xml:space="preserve"> × BS</w:t>
      </w:r>
      <w:r>
        <w:rPr>
          <w:b w:val="false"/>
          <w:bCs w:val="false"/>
          <w:i w:val="false"/>
          <w:iCs w:val="false"/>
          <w:sz w:val="16"/>
          <w:szCs w:val="16"/>
          <w:vertAlign w:val="subscript"/>
        </w:rPr>
        <w:t xml:space="preserve">Archive</w:t>
      </w:r>
      <w:r>
        <w:rPr>
          <w:b w:val="false"/>
          <w:bCs w:val="false"/>
          <w:i w:val="false"/>
          <w:iCs w:val="false"/>
          <w:sz w:val="22"/>
          <w:szCs w:val="22"/>
        </w:rPr>
        <w:t xml:space="preserve"> × C</w:t>
      </w:r>
      <w:r>
        <w:rPr>
          <w:b w:val="false"/>
          <w:bCs w:val="false"/>
          <w:i w:val="false"/>
          <w:iCs w:val="false"/>
          <w:sz w:val="16"/>
          <w:szCs w:val="16"/>
          <w:vertAlign w:val="subscript"/>
        </w:rPr>
        <w:t xml:space="preserve">Hands</w:t>
      </w:r>
      <w:r>
        <w:rPr>
          <w:b w:val="false"/>
          <w:bCs w:val="false"/>
          <w:i w:val="false"/>
          <w:iCs w:val="false"/>
          <w:sz w:val="22"/>
          <w:szCs w:val="22"/>
        </w:rPr>
        <w:t xml:space="preserve">] / [max(S</w:t>
      </w:r>
      <w:r>
        <w:rPr>
          <w:b w:val="false"/>
          <w:bCs w:val="false"/>
          <w:i w:val="false"/>
          <w:iCs w:val="false"/>
          <w:sz w:val="16"/>
          <w:szCs w:val="16"/>
          <w:vertAlign w:val="subscript"/>
        </w:rPr>
        <w:t xml:space="preserve">Hands</w:t>
      </w:r>
      <w:r>
        <w:rPr>
          <w:b w:val="false"/>
          <w:bCs w:val="false"/>
          <w:i w:val="false"/>
          <w:iCs w:val="false"/>
          <w:sz w:val="22"/>
          <w:szCs w:val="22"/>
        </w:rPr>
        <w:t xml:space="preserve">, 2.0) × σ</w:t>
      </w:r>
      <w:r>
        <w:rPr>
          <w:b w:val="false"/>
          <w:bCs w:val="false"/>
          <w:i w:val="false"/>
          <w:iCs w:val="false"/>
          <w:sz w:val="16"/>
          <w:szCs w:val="16"/>
          <w:vertAlign w:val="subscript"/>
        </w:rPr>
        <w:t xml:space="preserve">V</w:t>
      </w:r>
      <w:r>
        <w:rPr>
          <w:b w:val="false"/>
          <w:bCs w:val="false"/>
          <w:i w:val="false"/>
          <w:iCs w:val="false"/>
          <w:sz w:val="22"/>
          <w:szCs w:val="22"/>
        </w:rPr>
        <w:t xml:space="preserve">]</w:t>
      </w:r>
    </w:p>
    <w:p>
      <w:pPr>
        <w:spacing w:after="160" w:line="276"/>
      </w:pPr>
      <w:r>
        <w:rPr>
          <w:b w:val="false"/>
          <w:bCs w:val="false"/>
          <w:i w:val="false"/>
          <w:iCs w:val="false"/>
          <w:sz w:val="22"/>
          <w:szCs w:val="22"/>
        </w:rPr>
        <w:t xml:space="preserve">BSLore and BSArchive are each node's own canonical bond strength, taken as the mean of Wij over the other seven nodes.</w:t>
      </w:r>
    </w:p>
    <w:p>
      <w:pPr>
        <w:spacing w:after="160" w:line="276"/>
      </w:pPr>
      <w:r>
        <w:rPr>
          <w:b w:val="false"/>
          <w:bCs w:val="false"/>
          <w:i w:val="false"/>
          <w:iCs w:val="false"/>
          <w:sz w:val="22"/>
          <w:szCs w:val="22"/>
        </w:rPr>
        <w:t xml:space="preserve">Checks performed. (1) Operator reproduction in Python (pandas / numpy / scipy). (2) Data completeness — every source file's year coverage compared against its stated range, added in v2. (3) Test-statistic identification — each reported t recomputed under both Student's and Welch's assumptions, added in v2. (4) Temporal dependence — exact circular-shift permutation test preserving the contiguous block structure of coded crisis periods, added in v2. (5) Incremental value — pooled AUC of ηsoil against its own components and against simpler CAMS quantities, added in v2.</w:t>
      </w:r>
    </w:p>
    <w:p>
      <w:r>
        <w:br w:type="page"/>
      </w:r>
    </w:p>
    <w:p>
      <w:pPr>
        <w:pStyle w:val="Heading1"/>
        <w:spacing w:after="160" w:before="360"/>
      </w:pPr>
      <w:r>
        <w:t xml:space="preserve">1. Scale-Recursion Hypothesis — Corporate Panel</w:t>
      </w:r>
    </w:p>
    <w:p>
      <w:pPr>
        <w:spacing w:after="160" w:line="276"/>
      </w:pPr>
      <w:r>
        <w:rPr>
          <w:b w:val="false"/>
          <w:bCs w:val="false"/>
          <w:i w:val="false"/>
          <w:iCs w:val="false"/>
          <w:sz w:val="22"/>
          <w:szCs w:val="22"/>
        </w:rPr>
        <w:t xml:space="preserve">Source: camcorp5_ensemble_mean.csv (GM, BYD, CATL, Tencent; 2006–2026, n=84 entity-years) and camcorp5_batch2_ensemble_mean.csv (Huawei, Tesla, Bunnings, Woodside, BHP; n=105), the latter used as an out-of-sample extension not tested in the original paper. Both files are complete for their stated ranges.</w:t>
      </w:r>
    </w:p>
    <w:tbl>
      <w:tblPr>
        <w:tblW w:type="dxa" w:w="9026"/>
        <w:tblBorders>
          <w:top w:val="single" w:color="999999" w:sz="4"/>
          <w:left w:val="single" w:color="999999" w:sz="4"/>
          <w:bottom w:val="single" w:color="999999" w:sz="4"/>
          <w:right w:val="single" w:color="999999" w:sz="4"/>
          <w:insideH w:val="single" w:color="CCCCCC" w:sz="2"/>
          <w:insideV w:val="single" w:color="CCCCCC" w:sz="2"/>
        </w:tblBorders>
      </w:tblPr>
      <w:tblGrid>
        <w:gridCol w:w="2347"/>
        <w:gridCol w:w="2527"/>
        <w:gridCol w:w="4152"/>
      </w:tblGrid>
      <w:tr>
        <w:trPr>
          <w:tblHeader/>
        </w:trPr>
        <w:tc>
          <w:tcPr>
            <w:tcW w:type="dxa" w:w="2347"/>
            <w:shd w:fill="2F3E4E" w:val="clear"/>
            <w:tcMar>
              <w:top w:type="dxa" w:w="70"/>
              <w:left w:type="dxa" w:w="90"/>
              <w:bottom w:type="dxa" w:w="70"/>
              <w:right w:type="dxa" w:w="90"/>
            </w:tcMar>
            <w:vAlign w:val="center"/>
          </w:tcPr>
          <w:p>
            <w:pPr>
              <w:jc w:val="center"/>
            </w:pPr>
            <w:r>
              <w:rPr>
                <w:b/>
                <w:bCs/>
                <w:color w:val="FFFFFF"/>
                <w:sz w:val="18"/>
                <w:szCs w:val="18"/>
              </w:rPr>
              <w:t xml:space="preserve">Claim</w:t>
            </w:r>
          </w:p>
        </w:tc>
        <w:tc>
          <w:tcPr>
            <w:tcW w:type="dxa" w:w="2527"/>
            <w:shd w:fill="2F3E4E" w:val="clear"/>
            <w:tcMar>
              <w:top w:type="dxa" w:w="70"/>
              <w:left w:type="dxa" w:w="90"/>
              <w:bottom w:type="dxa" w:w="70"/>
              <w:right w:type="dxa" w:w="90"/>
            </w:tcMar>
            <w:vAlign w:val="center"/>
          </w:tcPr>
          <w:p>
            <w:pPr>
              <w:jc w:val="center"/>
            </w:pPr>
            <w:r>
              <w:rPr>
                <w:b/>
                <w:bCs/>
                <w:color w:val="FFFFFF"/>
                <w:sz w:val="18"/>
                <w:szCs w:val="18"/>
              </w:rPr>
              <w:t xml:space="preserve">Paper</w:t>
            </w:r>
          </w:p>
        </w:tc>
        <w:tc>
          <w:tcPr>
            <w:tcW w:type="dxa" w:w="4152"/>
            <w:shd w:fill="2F3E4E" w:val="clear"/>
            <w:tcMar>
              <w:top w:type="dxa" w:w="70"/>
              <w:left w:type="dxa" w:w="90"/>
              <w:bottom w:type="dxa" w:w="70"/>
              <w:right w:type="dxa" w:w="90"/>
            </w:tcMar>
            <w:vAlign w:val="center"/>
          </w:tcPr>
          <w:p>
            <w:pPr>
              <w:jc w:val="center"/>
            </w:pPr>
            <w:r>
              <w:rPr>
                <w:b/>
                <w:bCs/>
                <w:color w:val="FFFFFF"/>
                <w:sz w:val="18"/>
                <w:szCs w:val="18"/>
              </w:rPr>
              <w:t xml:space="preserve">Recomputed</w:t>
            </w:r>
          </w:p>
        </w:tc>
      </w:tr>
      <w:tr>
        <w:tc>
          <w:tcPr>
            <w:tcW w:type="dxa" w:w="2347"/>
            <w:tcMar>
              <w:top w:type="dxa" w:w="70"/>
              <w:left w:type="dxa" w:w="90"/>
              <w:bottom w:type="dxa" w:w="70"/>
              <w:right w:type="dxa" w:w="90"/>
            </w:tcMar>
            <w:vAlign w:val="center"/>
          </w:tcPr>
          <w:p>
            <w:pPr>
              <w:jc w:val="left"/>
            </w:pPr>
            <w:r>
              <w:rPr>
                <w:b w:val="false"/>
                <w:bCs w:val="false"/>
                <w:color w:val="000000"/>
                <w:sz w:val="18"/>
                <w:szCs w:val="18"/>
              </w:rPr>
              <w:t xml:space="preserve">Corporate B̄ range</w:t>
            </w:r>
          </w:p>
        </w:tc>
        <w:tc>
          <w:tcPr>
            <w:tcW w:type="dxa" w:w="2527"/>
            <w:tcMar>
              <w:top w:type="dxa" w:w="70"/>
              <w:left w:type="dxa" w:w="90"/>
              <w:bottom w:type="dxa" w:w="70"/>
              <w:right w:type="dxa" w:w="90"/>
            </w:tcMar>
            <w:vAlign w:val="center"/>
          </w:tcPr>
          <w:p>
            <w:pPr>
              <w:jc w:val="left"/>
            </w:pPr>
            <w:r>
              <w:rPr>
                <w:b w:val="false"/>
                <w:bCs w:val="false"/>
                <w:color w:val="000000"/>
                <w:sz w:val="18"/>
                <w:szCs w:val="18"/>
              </w:rPr>
              <w:t xml:space="preserve">0.076–0.446</w:t>
            </w:r>
          </w:p>
        </w:tc>
        <w:tc>
          <w:tcPr>
            <w:tcW w:type="dxa" w:w="4152"/>
            <w:tcMar>
              <w:top w:type="dxa" w:w="70"/>
              <w:left w:type="dxa" w:w="90"/>
              <w:bottom w:type="dxa" w:w="70"/>
              <w:right w:type="dxa" w:w="90"/>
            </w:tcMar>
            <w:vAlign w:val="center"/>
          </w:tcPr>
          <w:p>
            <w:pPr>
              <w:jc w:val="left"/>
            </w:pPr>
            <w:r>
              <w:rPr>
                <w:b w:val="false"/>
                <w:bCs w:val="false"/>
                <w:color w:val="000000"/>
                <w:sz w:val="18"/>
                <w:szCs w:val="18"/>
              </w:rPr>
              <w:t xml:space="preserve">0.0758–0.4464</w:t>
            </w:r>
          </w:p>
        </w:tc>
      </w:tr>
      <w:tr>
        <w:tc>
          <w:tcPr>
            <w:tcW w:type="dxa" w:w="2347"/>
            <w:shd w:fill="F4F6F8" w:val="clear"/>
            <w:tcMar>
              <w:top w:type="dxa" w:w="70"/>
              <w:left w:type="dxa" w:w="90"/>
              <w:bottom w:type="dxa" w:w="70"/>
              <w:right w:type="dxa" w:w="90"/>
            </w:tcMar>
            <w:vAlign w:val="center"/>
          </w:tcPr>
          <w:p>
            <w:pPr>
              <w:jc w:val="left"/>
            </w:pPr>
            <w:r>
              <w:rPr>
                <w:b w:val="false"/>
                <w:bCs w:val="false"/>
                <w:color w:val="000000"/>
                <w:sz w:val="18"/>
                <w:szCs w:val="18"/>
              </w:rPr>
              <w:t xml:space="preserve">Corporate λ₂ range</w:t>
            </w:r>
          </w:p>
        </w:tc>
        <w:tc>
          <w:tcPr>
            <w:tcW w:type="dxa" w:w="2527"/>
            <w:shd w:fill="F4F6F8" w:val="clear"/>
            <w:tcMar>
              <w:top w:type="dxa" w:w="70"/>
              <w:left w:type="dxa" w:w="90"/>
              <w:bottom w:type="dxa" w:w="70"/>
              <w:right w:type="dxa" w:w="90"/>
            </w:tcMar>
            <w:vAlign w:val="center"/>
          </w:tcPr>
          <w:p>
            <w:pPr>
              <w:jc w:val="left"/>
            </w:pPr>
            <w:r>
              <w:rPr>
                <w:b w:val="false"/>
                <w:bCs w:val="false"/>
                <w:color w:val="000000"/>
                <w:sz w:val="18"/>
                <w:szCs w:val="18"/>
              </w:rPr>
              <w:t xml:space="preserve">0.606–3.221</w:t>
            </w:r>
          </w:p>
        </w:tc>
        <w:tc>
          <w:tcPr>
            <w:tcW w:type="dxa" w:w="4152"/>
            <w:shd w:fill="F4F6F8" w:val="clear"/>
            <w:tcMar>
              <w:top w:type="dxa" w:w="70"/>
              <w:left w:type="dxa" w:w="90"/>
              <w:bottom w:type="dxa" w:w="70"/>
              <w:right w:type="dxa" w:w="90"/>
            </w:tcMar>
            <w:vAlign w:val="center"/>
          </w:tcPr>
          <w:p>
            <w:pPr>
              <w:jc w:val="left"/>
            </w:pPr>
            <w:r>
              <w:rPr>
                <w:b w:val="false"/>
                <w:bCs w:val="false"/>
                <w:color w:val="000000"/>
                <w:sz w:val="18"/>
                <w:szCs w:val="18"/>
              </w:rPr>
              <w:t xml:space="preserve">0.6063–3.2214</w:t>
            </w:r>
          </w:p>
        </w:tc>
      </w:tr>
      <w:tr>
        <w:tc>
          <w:tcPr>
            <w:tcW w:type="dxa" w:w="2347"/>
            <w:tcMar>
              <w:top w:type="dxa" w:w="70"/>
              <w:left w:type="dxa" w:w="90"/>
              <w:bottom w:type="dxa" w:w="70"/>
              <w:right w:type="dxa" w:w="90"/>
            </w:tcMar>
            <w:vAlign w:val="center"/>
          </w:tcPr>
          <w:p>
            <w:pPr>
              <w:jc w:val="left"/>
            </w:pPr>
            <w:r>
              <w:rPr>
                <w:b w:val="false"/>
                <w:bCs w:val="false"/>
                <w:color w:val="000000"/>
                <w:sz w:val="18"/>
                <w:szCs w:val="18"/>
              </w:rPr>
              <w:t xml:space="preserve">GM 2009 floor</w:t>
            </w:r>
          </w:p>
        </w:tc>
        <w:tc>
          <w:tcPr>
            <w:tcW w:type="dxa" w:w="2527"/>
            <w:tcMar>
              <w:top w:type="dxa" w:w="70"/>
              <w:left w:type="dxa" w:w="90"/>
              <w:bottom w:type="dxa" w:w="70"/>
              <w:right w:type="dxa" w:w="90"/>
            </w:tcMar>
            <w:vAlign w:val="center"/>
          </w:tcPr>
          <w:p>
            <w:pPr>
              <w:jc w:val="left"/>
            </w:pPr>
            <w:r>
              <w:rPr>
                <w:b w:val="false"/>
                <w:bCs w:val="false"/>
                <w:color w:val="000000"/>
                <w:sz w:val="18"/>
                <w:szCs w:val="18"/>
              </w:rPr>
              <w:t xml:space="preserve">B̄=0.112, λ₂=0.779</w:t>
            </w:r>
          </w:p>
        </w:tc>
        <w:tc>
          <w:tcPr>
            <w:tcW w:type="dxa" w:w="4152"/>
            <w:tcMar>
              <w:top w:type="dxa" w:w="70"/>
              <w:left w:type="dxa" w:w="90"/>
              <w:bottom w:type="dxa" w:w="70"/>
              <w:right w:type="dxa" w:w="90"/>
            </w:tcMar>
            <w:vAlign w:val="center"/>
          </w:tcPr>
          <w:p>
            <w:pPr>
              <w:jc w:val="left"/>
            </w:pPr>
            <w:r>
              <w:rPr>
                <w:b w:val="false"/>
                <w:bCs w:val="false"/>
                <w:color w:val="000000"/>
                <w:sz w:val="18"/>
                <w:szCs w:val="18"/>
              </w:rPr>
              <w:t xml:space="preserve">B̄=0.1117, λ₂=0.7786</w:t>
            </w:r>
          </w:p>
        </w:tc>
      </w:tr>
      <w:tr>
        <w:tc>
          <w:tcPr>
            <w:tcW w:type="dxa" w:w="2347"/>
            <w:shd w:fill="F4F6F8" w:val="clear"/>
            <w:tcMar>
              <w:top w:type="dxa" w:w="70"/>
              <w:left w:type="dxa" w:w="90"/>
              <w:bottom w:type="dxa" w:w="70"/>
              <w:right w:type="dxa" w:w="90"/>
            </w:tcMar>
            <w:vAlign w:val="center"/>
          </w:tcPr>
          <w:p>
            <w:pPr>
              <w:jc w:val="left"/>
            </w:pPr>
            <w:r>
              <w:rPr>
                <w:b w:val="false"/>
                <w:bCs w:val="false"/>
                <w:color w:val="000000"/>
                <w:sz w:val="18"/>
                <w:szCs w:val="18"/>
              </w:rPr>
              <w:t xml:space="preserve">Tencent B̄ endpoints</w:t>
            </w:r>
          </w:p>
        </w:tc>
        <w:tc>
          <w:tcPr>
            <w:tcW w:type="dxa" w:w="2527"/>
            <w:shd w:fill="F4F6F8" w:val="clear"/>
            <w:tcMar>
              <w:top w:type="dxa" w:w="70"/>
              <w:left w:type="dxa" w:w="90"/>
              <w:bottom w:type="dxa" w:w="70"/>
              <w:right w:type="dxa" w:w="90"/>
            </w:tcMar>
            <w:vAlign w:val="center"/>
          </w:tcPr>
          <w:p>
            <w:pPr>
              <w:jc w:val="left"/>
            </w:pPr>
            <w:r>
              <w:rPr>
                <w:b w:val="false"/>
                <w:bCs w:val="false"/>
                <w:color w:val="000000"/>
                <w:sz w:val="18"/>
                <w:szCs w:val="18"/>
              </w:rPr>
              <w:t xml:space="preserve">0.431 → 0.232</w:t>
            </w:r>
          </w:p>
        </w:tc>
        <w:tc>
          <w:tcPr>
            <w:tcW w:type="dxa" w:w="4152"/>
            <w:shd w:fill="F4F6F8" w:val="clear"/>
            <w:tcMar>
              <w:top w:type="dxa" w:w="70"/>
              <w:left w:type="dxa" w:w="90"/>
              <w:bottom w:type="dxa" w:w="70"/>
              <w:right w:type="dxa" w:w="90"/>
            </w:tcMar>
            <w:vAlign w:val="center"/>
          </w:tcPr>
          <w:p>
            <w:pPr>
              <w:jc w:val="left"/>
            </w:pPr>
            <w:r>
              <w:rPr>
                <w:b w:val="false"/>
                <w:bCs w:val="false"/>
                <w:color w:val="000000"/>
                <w:sz w:val="18"/>
                <w:szCs w:val="18"/>
              </w:rPr>
              <w:t xml:space="preserve">0.4314 (2017) → 0.2315 (2022)</w:t>
            </w:r>
          </w:p>
        </w:tc>
      </w:tr>
      <w:tr>
        <w:tc>
          <w:tcPr>
            <w:tcW w:type="dxa" w:w="2347"/>
            <w:tcMar>
              <w:top w:type="dxa" w:w="70"/>
              <w:left w:type="dxa" w:w="90"/>
              <w:bottom w:type="dxa" w:w="70"/>
              <w:right w:type="dxa" w:w="90"/>
            </w:tcMar>
            <w:vAlign w:val="center"/>
          </w:tcPr>
          <w:p>
            <w:pPr>
              <w:jc w:val="left"/>
            </w:pPr>
            <w:r>
              <w:rPr>
                <w:b w:val="false"/>
                <w:bCs w:val="false"/>
                <w:color w:val="000000"/>
                <w:sz w:val="18"/>
                <w:szCs w:val="18"/>
              </w:rPr>
              <w:t xml:space="preserve">Tencent λ₂, 2018–22</w:t>
            </w:r>
          </w:p>
        </w:tc>
        <w:tc>
          <w:tcPr>
            <w:tcW w:type="dxa" w:w="2527"/>
            <w:tcMar>
              <w:top w:type="dxa" w:w="70"/>
              <w:left w:type="dxa" w:w="90"/>
              <w:bottom w:type="dxa" w:w="70"/>
              <w:right w:type="dxa" w:w="90"/>
            </w:tcMar>
            <w:vAlign w:val="center"/>
          </w:tcPr>
          <w:p>
            <w:pPr>
              <w:jc w:val="left"/>
            </w:pPr>
            <w:r>
              <w:rPr>
                <w:b w:val="false"/>
                <w:bCs w:val="false"/>
                <w:color w:val="000000"/>
                <w:sz w:val="18"/>
                <w:szCs w:val="18"/>
              </w:rPr>
              <w:t xml:space="preserve">stays &gt; 1.5</w:t>
            </w:r>
          </w:p>
        </w:tc>
        <w:tc>
          <w:tcPr>
            <w:tcW w:type="dxa" w:w="4152"/>
            <w:tcMar>
              <w:top w:type="dxa" w:w="70"/>
              <w:left w:type="dxa" w:w="90"/>
              <w:bottom w:type="dxa" w:w="70"/>
              <w:right w:type="dxa" w:w="90"/>
            </w:tcMar>
            <w:vAlign w:val="center"/>
          </w:tcPr>
          <w:p>
            <w:pPr>
              <w:jc w:val="left"/>
            </w:pPr>
            <w:r>
              <w:rPr>
                <w:b w:val="false"/>
                <w:bCs w:val="false"/>
                <w:color w:val="000000"/>
                <w:sz w:val="18"/>
                <w:szCs w:val="18"/>
              </w:rPr>
              <w:t xml:space="preserve">1.538–2.944</w:t>
            </w:r>
          </w:p>
        </w:tc>
      </w:tr>
      <w:tr>
        <w:tc>
          <w:tcPr>
            <w:tcW w:type="dxa" w:w="2347"/>
            <w:shd w:fill="F4F6F8" w:val="clear"/>
            <w:tcMar>
              <w:top w:type="dxa" w:w="70"/>
              <w:left w:type="dxa" w:w="90"/>
              <w:bottom w:type="dxa" w:w="70"/>
              <w:right w:type="dxa" w:w="90"/>
            </w:tcMar>
            <w:vAlign w:val="center"/>
          </w:tcPr>
          <w:p>
            <w:pPr>
              <w:jc w:val="left"/>
            </w:pPr>
            <w:r>
              <w:rPr>
                <w:b w:val="false"/>
                <w:bCs w:val="false"/>
                <w:color w:val="000000"/>
                <w:sz w:val="18"/>
                <w:szCs w:val="18"/>
              </w:rPr>
              <w:t xml:space="preserve">CATL 2006–10</w:t>
            </w:r>
          </w:p>
        </w:tc>
        <w:tc>
          <w:tcPr>
            <w:tcW w:type="dxa" w:w="2527"/>
            <w:shd w:fill="F4F6F8" w:val="clear"/>
            <w:tcMar>
              <w:top w:type="dxa" w:w="70"/>
              <w:left w:type="dxa" w:w="90"/>
              <w:bottom w:type="dxa" w:w="70"/>
              <w:right w:type="dxa" w:w="90"/>
            </w:tcMar>
            <w:vAlign w:val="center"/>
          </w:tcPr>
          <w:p>
            <w:pPr>
              <w:jc w:val="left"/>
            </w:pPr>
            <w:r>
              <w:rPr>
                <w:b w:val="false"/>
                <w:bCs w:val="false"/>
                <w:color w:val="000000"/>
                <w:sz w:val="18"/>
                <w:szCs w:val="18"/>
              </w:rPr>
              <w:t xml:space="preserve">B̄ 0.076–0.087</w:t>
            </w:r>
          </w:p>
        </w:tc>
        <w:tc>
          <w:tcPr>
            <w:tcW w:type="dxa" w:w="4152"/>
            <w:shd w:fill="F4F6F8" w:val="clear"/>
            <w:tcMar>
              <w:top w:type="dxa" w:w="70"/>
              <w:left w:type="dxa" w:w="90"/>
              <w:bottom w:type="dxa" w:w="70"/>
              <w:right w:type="dxa" w:w="90"/>
            </w:tcMar>
            <w:vAlign w:val="center"/>
          </w:tcPr>
          <w:p>
            <w:pPr>
              <w:jc w:val="left"/>
            </w:pPr>
            <w:r>
              <w:rPr>
                <w:b w:val="false"/>
                <w:bCs w:val="false"/>
                <w:color w:val="000000"/>
                <w:sz w:val="18"/>
                <w:szCs w:val="18"/>
              </w:rPr>
              <w:t xml:space="preserve">0.0758 (flat 2006–09) → 0.0873 (2010)</w:t>
            </w:r>
          </w:p>
        </w:tc>
      </w:tr>
      <w:tr>
        <w:tc>
          <w:tcPr>
            <w:tcW w:type="dxa" w:w="2347"/>
            <w:tcMar>
              <w:top w:type="dxa" w:w="70"/>
              <w:left w:type="dxa" w:w="90"/>
              <w:bottom w:type="dxa" w:w="70"/>
              <w:right w:type="dxa" w:w="90"/>
            </w:tcMar>
            <w:vAlign w:val="center"/>
          </w:tcPr>
          <w:p>
            <w:pPr>
              <w:jc w:val="left"/>
            </w:pPr>
            <w:r>
              <w:rPr>
                <w:b w:val="false"/>
                <w:bCs w:val="false"/>
                <w:color w:val="000000"/>
                <w:sz w:val="18"/>
                <w:szCs w:val="18"/>
              </w:rPr>
              <w:t xml:space="preserve">BYD</w:t>
            </w:r>
          </w:p>
        </w:tc>
        <w:tc>
          <w:tcPr>
            <w:tcW w:type="dxa" w:w="2527"/>
            <w:tcMar>
              <w:top w:type="dxa" w:w="70"/>
              <w:left w:type="dxa" w:w="90"/>
              <w:bottom w:type="dxa" w:w="70"/>
              <w:right w:type="dxa" w:w="90"/>
            </w:tcMar>
            <w:vAlign w:val="center"/>
          </w:tcPr>
          <w:p>
            <w:pPr>
              <w:jc w:val="left"/>
            </w:pPr>
            <w:r>
              <w:rPr>
                <w:b w:val="false"/>
                <w:bCs w:val="false"/>
                <w:color w:val="000000"/>
                <w:sz w:val="18"/>
                <w:szCs w:val="18"/>
              </w:rPr>
              <w:t xml:space="preserve">no alarm years</w:t>
            </w:r>
          </w:p>
        </w:tc>
        <w:tc>
          <w:tcPr>
            <w:tcW w:type="dxa" w:w="4152"/>
            <w:tcMar>
              <w:top w:type="dxa" w:w="70"/>
              <w:left w:type="dxa" w:w="90"/>
              <w:bottom w:type="dxa" w:w="70"/>
              <w:right w:type="dxa" w:w="90"/>
            </w:tcMar>
            <w:vAlign w:val="center"/>
          </w:tcPr>
          <w:p>
            <w:pPr>
              <w:jc w:val="left"/>
            </w:pPr>
            <w:r>
              <w:rPr>
                <w:b w:val="false"/>
                <w:bCs w:val="false"/>
                <w:color w:val="000000"/>
                <w:sz w:val="18"/>
                <w:szCs w:val="18"/>
              </w:rPr>
              <w:t xml:space="preserve">B̄ floor 0.288, above every other entity's trough</w:t>
            </w:r>
          </w:p>
        </w:tc>
      </w:tr>
      <w:tr>
        <w:tc>
          <w:tcPr>
            <w:tcW w:type="dxa" w:w="2347"/>
            <w:shd w:fill="F4F6F8" w:val="clear"/>
            <w:tcMar>
              <w:top w:type="dxa" w:w="70"/>
              <w:left w:type="dxa" w:w="90"/>
              <w:bottom w:type="dxa" w:w="70"/>
              <w:right w:type="dxa" w:w="90"/>
            </w:tcMar>
            <w:vAlign w:val="center"/>
          </w:tcPr>
          <w:p>
            <w:pPr>
              <w:jc w:val="left"/>
            </w:pPr>
            <w:r>
              <w:rPr>
                <w:b w:val="false"/>
                <w:bCs w:val="false"/>
                <w:color w:val="000000"/>
                <w:sz w:val="18"/>
                <w:szCs w:val="18"/>
              </w:rPr>
              <w:t xml:space="preserve">Raw bottleneck (4 firms)</w:t>
            </w:r>
          </w:p>
        </w:tc>
        <w:tc>
          <w:tcPr>
            <w:tcW w:type="dxa" w:w="2527"/>
            <w:shd w:fill="F4F6F8" w:val="clear"/>
            <w:tcMar>
              <w:top w:type="dxa" w:w="70"/>
              <w:left w:type="dxa" w:w="90"/>
              <w:bottom w:type="dxa" w:w="70"/>
              <w:right w:type="dxa" w:w="90"/>
            </w:tcMar>
            <w:vAlign w:val="center"/>
          </w:tcPr>
          <w:p>
            <w:pPr>
              <w:jc w:val="left"/>
            </w:pPr>
            <w:r>
              <w:rPr>
                <w:b w:val="false"/>
                <w:bCs w:val="false"/>
                <w:color w:val="000000"/>
                <w:sz w:val="18"/>
                <w:szCs w:val="18"/>
              </w:rPr>
              <w:t xml:space="preserve">100 / 90.5 / 47.6 / 38.1%</w:t>
            </w:r>
          </w:p>
        </w:tc>
        <w:tc>
          <w:tcPr>
            <w:tcW w:type="dxa" w:w="4152"/>
            <w:shd w:fill="F4F6F8" w:val="clear"/>
            <w:tcMar>
              <w:top w:type="dxa" w:w="70"/>
              <w:left w:type="dxa" w:w="90"/>
              <w:bottom w:type="dxa" w:w="70"/>
              <w:right w:type="dxa" w:w="90"/>
            </w:tcMar>
            <w:vAlign w:val="center"/>
          </w:tcPr>
          <w:p>
            <w:pPr>
              <w:jc w:val="left"/>
            </w:pPr>
            <w:r>
              <w:rPr>
                <w:b w:val="false"/>
                <w:bCs w:val="false"/>
                <w:color w:val="000000"/>
                <w:sz w:val="18"/>
                <w:szCs w:val="18"/>
              </w:rPr>
              <w:t xml:space="preserve">identical to 1 d.p.</w:t>
            </w:r>
          </w:p>
        </w:tc>
      </w:tr>
      <w:tr>
        <w:tc>
          <w:tcPr>
            <w:tcW w:type="dxa" w:w="2347"/>
            <w:tcMar>
              <w:top w:type="dxa" w:w="70"/>
              <w:left w:type="dxa" w:w="90"/>
              <w:bottom w:type="dxa" w:w="70"/>
              <w:right w:type="dxa" w:w="90"/>
            </w:tcMar>
            <w:vAlign w:val="center"/>
          </w:tcPr>
          <w:p>
            <w:pPr>
              <w:jc w:val="left"/>
            </w:pPr>
            <w:r>
              <w:rPr>
                <w:b w:val="false"/>
                <w:bCs w:val="false"/>
                <w:color w:val="000000"/>
                <w:sz w:val="18"/>
                <w:szCs w:val="18"/>
              </w:rPr>
              <w:t xml:space="preserve">Standardised bottleneck</w:t>
            </w:r>
          </w:p>
        </w:tc>
        <w:tc>
          <w:tcPr>
            <w:tcW w:type="dxa" w:w="2527"/>
            <w:tcMar>
              <w:top w:type="dxa" w:w="70"/>
              <w:left w:type="dxa" w:w="90"/>
              <w:bottom w:type="dxa" w:w="70"/>
              <w:right w:type="dxa" w:w="90"/>
            </w:tcMar>
            <w:vAlign w:val="center"/>
          </w:tcPr>
          <w:p>
            <w:pPr>
              <w:jc w:val="left"/>
            </w:pPr>
            <w:r>
              <w:rPr>
                <w:b w:val="false"/>
                <w:bCs w:val="false"/>
                <w:color w:val="000000"/>
                <w:sz w:val="18"/>
                <w:szCs w:val="18"/>
              </w:rPr>
              <w:t xml:space="preserve">28.6 / 28.6 / 42.9 / 38.1%</w:t>
            </w:r>
          </w:p>
        </w:tc>
        <w:tc>
          <w:tcPr>
            <w:tcW w:type="dxa" w:w="4152"/>
            <w:tcMar>
              <w:top w:type="dxa" w:w="70"/>
              <w:left w:type="dxa" w:w="90"/>
              <w:bottom w:type="dxa" w:w="70"/>
              <w:right w:type="dxa" w:w="90"/>
            </w:tcMar>
            <w:vAlign w:val="center"/>
          </w:tcPr>
          <w:p>
            <w:pPr>
              <w:jc w:val="left"/>
            </w:pPr>
            <w:r>
              <w:rPr>
                <w:b w:val="false"/>
                <w:bCs w:val="false"/>
                <w:color w:val="000000"/>
                <w:sz w:val="18"/>
                <w:szCs w:val="18"/>
              </w:rPr>
              <w:t xml:space="preserve">identical to 1 d.p.</w:t>
            </w:r>
          </w:p>
        </w:tc>
      </w:tr>
    </w:tbl>
    <w:p>
      <w:pPr>
        <w:spacing w:after="300" w:before="80"/>
        <w:jc w:val="center"/>
      </w:pPr>
      <w:r>
        <w:rPr>
          <w:i/>
          <w:iCs/>
          <w:color w:val="555555"/>
          <w:sz w:val="18"/>
          <w:szCs w:val="18"/>
        </w:rPr>
        <w:t xml:space="preserve">Table 1 — All figures reproduce to the precision reported. Unchanged from v1.</w:t>
      </w:r>
    </w:p>
    <w:p>
      <w:pPr>
        <w:spacing w:after="160" w:line="276"/>
      </w:pPr>
      <w:r>
        <w:rPr>
          <w:b w:val="false"/>
          <w:bCs w:val="false"/>
          <w:i w:val="false"/>
          <w:iCs w:val="false"/>
          <w:sz w:val="22"/>
          <w:szCs w:val="22"/>
        </w:rPr>
        <w:t xml:space="preserve">Out-of-sample extension: 102 of 105 batch-2 entity-years (97%) fall inside the band derived from the 4-firm panel. Mechanism behind the bottleneck artifact: pooled mean node value is lowest for Shield (8.14) versus the next-lowest node (Hands, 9.33) across every entity, and Shield remains the dominant raw bottleneck in 4 of the 5 batch-2 firms.</w:t>
      </w:r>
    </w:p>
    <w:p>
      <w:pPr>
        <w:pStyle w:val="Heading2"/>
        <w:spacing w:after="120" w:before="280"/>
      </w:pPr>
      <w:r>
        <w:t xml:space="preserve">1.1 Items for correction</w:t>
      </w:r>
    </w:p>
    <w:p>
      <w:pPr>
        <w:pStyle w:val="ListParagraph"/>
        <w:numPr>
          <w:ilvl w:val="0"/>
          <w:numId w:val="2"/>
        </w:numPr>
        <w:spacing w:after="100" w:line="276"/>
      </w:pPr>
      <w:r>
        <w:rPr>
          <w:sz w:val="22"/>
          <w:szCs w:val="22"/>
        </w:rPr>
        <w:t xml:space="preserve">Wording: “Tencent drops from 0.431 to 0.232” reads as monotonic. The path dips to 0.304 (2018), recovers to 0.419 (2020), then falls to 0.232 (2022) — two distinct compressions, not one decline.</w:t>
      </w:r>
    </w:p>
    <w:p>
      <w:pPr>
        <w:pStyle w:val="ListParagraph"/>
        <w:numPr>
          <w:ilvl w:val="0"/>
          <w:numId w:val="2"/>
        </w:numPr>
        <w:spacing w:after="100" w:line="276"/>
      </w:pPr>
      <w:r>
        <w:rPr>
          <w:sz w:val="22"/>
          <w:szCs w:val="22"/>
        </w:rPr>
        <w:t xml:space="preserve">Precision: the stored-bond inflation factor “12×–112×” is not exactly reproducible; the closest bound is 10.81×–111.07× using system B̄ as comparator, or 10.81×–98.10× using mean-over-neighbours.</w:t>
      </w:r>
    </w:p>
    <w:p>
      <w:pPr>
        <w:pStyle w:val="ListParagraph"/>
        <w:numPr>
          <w:ilvl w:val="0"/>
          <w:numId w:val="2"/>
        </w:numPr>
        <w:spacing w:after="100" w:line="276"/>
      </w:pPr>
      <w:r>
        <w:rPr>
          <w:sz w:val="22"/>
          <w:szCs w:val="22"/>
        </w:rPr>
        <w:t xml:space="preserve">Scope: the canonical Wij sums over all 28 node pairs (complete graph K8), not the sparse Mythic/Material partition used in the national-level formalism. B̄ and λ₂ correlate at r=0.981 under this construction, so the two operators are near-redundant here and the partition question is bypassed rather than addressed.</w:t>
      </w:r>
    </w:p>
    <w:p>
      <w:pPr>
        <w:spacing w:after="0" w:before="200"/>
        <w:jc w:val="center"/>
      </w:pPr>
      <w:r>
        <w:drawing>
          <wp:inline distT="0" distB="0" distL="0" distR="0">
            <wp:extent cx="4762500" cy="3790950"/>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7" cstate="none"/>
                    <a:srcRect/>
                    <a:stretch>
                      <a:fillRect/>
                    </a:stretch>
                  </pic:blipFill>
                  <pic:spPr bwMode="auto">
                    <a:xfrm>
                      <a:off x="0" y="0"/>
                      <a:ext cx="4762500" cy="3790950"/>
                    </a:xfrm>
                    <a:prstGeom prst="rect">
                      <a:avLst/>
                    </a:prstGeom>
                  </pic:spPr>
                </pic:pic>
              </a:graphicData>
            </a:graphic>
          </wp:inline>
        </w:drawing>
      </w:r>
    </w:p>
    <w:p>
      <w:pPr>
        <w:spacing w:after="300" w:before="80"/>
        <w:jc w:val="center"/>
      </w:pPr>
      <w:r>
        <w:rPr>
          <w:i/>
          <w:iCs/>
          <w:color w:val="555555"/>
          <w:sz w:val="18"/>
          <w:szCs w:val="18"/>
        </w:rPr>
        <w:t xml:space="preserve">Figure 1 — Recomputed B̄(t) across all 9 firms, 2006–2026. Shaded band is the range established on the 4-firm in-sample panel; batch-2 firms (orange) were held out.</w:t>
      </w:r>
    </w:p>
    <w:p>
      <w:r>
        <w:br w:type="page"/>
      </w:r>
    </w:p>
    <w:p>
      <w:pPr>
        <w:pStyle w:val="Heading1"/>
        <w:spacing w:after="160" w:before="360"/>
      </w:pPr>
      <w:r>
        <w:t xml:space="preserve">2. Operator Portability Proposition</w:t>
      </w:r>
    </w:p>
    <w:p>
      <w:pPr>
        <w:spacing w:after="160" w:line="276"/>
      </w:pPr>
      <w:r>
        <w:rPr>
          <w:b w:val="false"/>
          <w:bCs w:val="false"/>
          <w:i w:val="false"/>
          <w:iCs w:val="false"/>
          <w:sz w:val="22"/>
          <w:szCs w:val="22"/>
        </w:rPr>
        <w:t xml:space="preserve">Source: the corporate panel above, plus Denmark_ENS_Bij_v10.csv (1752–2025, n=114 sampled years) and France_ENS_Bij_v10.csv (1850–2026, n=177). Both national files are complete for their stated ranges, and both carry stored bond-strength columns matching the canonical formula exactly (ratio 1.000), unlike the corporate files.</w:t>
      </w:r>
    </w:p>
    <w:tbl>
      <w:tblPr>
        <w:tblW w:type="dxa" w:w="9026"/>
        <w:tblBorders>
          <w:top w:val="single" w:color="999999" w:sz="4"/>
          <w:left w:val="single" w:color="999999" w:sz="4"/>
          <w:bottom w:val="single" w:color="999999" w:sz="4"/>
          <w:right w:val="single" w:color="999999" w:sz="4"/>
          <w:insideH w:val="single" w:color="CCCCCC" w:sz="2"/>
          <w:insideV w:val="single" w:color="CCCCCC" w:sz="2"/>
        </w:tblBorders>
      </w:tblPr>
      <w:tblGrid>
        <w:gridCol w:w="3249"/>
        <w:gridCol w:w="2888"/>
        <w:gridCol w:w="2888"/>
      </w:tblGrid>
      <w:tr>
        <w:trPr>
          <w:tblHeader/>
        </w:trPr>
        <w:tc>
          <w:tcPr>
            <w:tcW w:type="dxa" w:w="3249"/>
            <w:shd w:fill="2F3E4E" w:val="clear"/>
            <w:tcMar>
              <w:top w:type="dxa" w:w="70"/>
              <w:left w:type="dxa" w:w="90"/>
              <w:bottom w:type="dxa" w:w="70"/>
              <w:right w:type="dxa" w:w="90"/>
            </w:tcMar>
            <w:vAlign w:val="center"/>
          </w:tcPr>
          <w:p>
            <w:pPr>
              <w:jc w:val="center"/>
            </w:pPr>
            <w:r>
              <w:rPr>
                <w:b/>
                <w:bCs/>
                <w:color w:val="FFFFFF"/>
                <w:sz w:val="18"/>
                <w:szCs w:val="18"/>
              </w:rPr>
              <w:t xml:space="preserve">Statistic</w:t>
            </w:r>
          </w:p>
        </w:tc>
        <w:tc>
          <w:tcPr>
            <w:tcW w:type="dxa" w:w="2888"/>
            <w:shd w:fill="2F3E4E" w:val="clear"/>
            <w:tcMar>
              <w:top w:type="dxa" w:w="70"/>
              <w:left w:type="dxa" w:w="90"/>
              <w:bottom w:type="dxa" w:w="70"/>
              <w:right w:type="dxa" w:w="90"/>
            </w:tcMar>
            <w:vAlign w:val="center"/>
          </w:tcPr>
          <w:p>
            <w:pPr>
              <w:jc w:val="center"/>
            </w:pPr>
            <w:r>
              <w:rPr>
                <w:b/>
                <w:bCs/>
                <w:color w:val="FFFFFF"/>
                <w:sz w:val="18"/>
                <w:szCs w:val="18"/>
              </w:rPr>
              <w:t xml:space="preserve">Paper</w:t>
            </w:r>
          </w:p>
        </w:tc>
        <w:tc>
          <w:tcPr>
            <w:tcW w:type="dxa" w:w="2888"/>
            <w:shd w:fill="2F3E4E" w:val="clear"/>
            <w:tcMar>
              <w:top w:type="dxa" w:w="70"/>
              <w:left w:type="dxa" w:w="90"/>
              <w:bottom w:type="dxa" w:w="70"/>
              <w:right w:type="dxa" w:w="90"/>
            </w:tcMar>
            <w:vAlign w:val="center"/>
          </w:tcPr>
          <w:p>
            <w:pPr>
              <w:jc w:val="center"/>
            </w:pPr>
            <w:r>
              <w:rPr>
                <w:b/>
                <w:bCs/>
                <w:color w:val="FFFFFF"/>
                <w:sz w:val="18"/>
                <w:szCs w:val="18"/>
              </w:rPr>
              <w:t xml:space="preserve">Recomputed</w:t>
            </w:r>
          </w:p>
        </w:tc>
      </w:tr>
      <w:tr>
        <w:tc>
          <w:tcPr>
            <w:tcW w:type="dxa" w:w="3249"/>
            <w:tcMar>
              <w:top w:type="dxa" w:w="70"/>
              <w:left w:type="dxa" w:w="90"/>
              <w:bottom w:type="dxa" w:w="70"/>
              <w:right w:type="dxa" w:w="90"/>
            </w:tcMar>
            <w:vAlign w:val="center"/>
          </w:tcPr>
          <w:p>
            <w:pPr>
              <w:jc w:val="left"/>
            </w:pPr>
            <w:r>
              <w:rPr>
                <w:b w:val="false"/>
                <w:bCs w:val="false"/>
                <w:color w:val="000000"/>
                <w:sz w:val="18"/>
                <w:szCs w:val="18"/>
              </w:rPr>
              <w:t xml:space="preserve">r(B̄,λ₂) in-sample (n=84)</w:t>
            </w:r>
          </w:p>
        </w:tc>
        <w:tc>
          <w:tcPr>
            <w:tcW w:type="dxa" w:w="2888"/>
            <w:tcMar>
              <w:top w:type="dxa" w:w="70"/>
              <w:left w:type="dxa" w:w="90"/>
              <w:bottom w:type="dxa" w:w="70"/>
              <w:right w:type="dxa" w:w="90"/>
            </w:tcMar>
            <w:vAlign w:val="center"/>
          </w:tcPr>
          <w:p>
            <w:pPr>
              <w:jc w:val="left"/>
            </w:pPr>
            <w:r>
              <w:rPr>
                <w:b w:val="false"/>
                <w:bCs w:val="false"/>
                <w:color w:val="000000"/>
                <w:sz w:val="18"/>
                <w:szCs w:val="18"/>
              </w:rPr>
              <w:t xml:space="preserve">0.988</w:t>
            </w:r>
          </w:p>
        </w:tc>
        <w:tc>
          <w:tcPr>
            <w:tcW w:type="dxa" w:w="2888"/>
            <w:tcMar>
              <w:top w:type="dxa" w:w="70"/>
              <w:left w:type="dxa" w:w="90"/>
              <w:bottom w:type="dxa" w:w="70"/>
              <w:right w:type="dxa" w:w="90"/>
            </w:tcMar>
            <w:vAlign w:val="center"/>
          </w:tcPr>
          <w:p>
            <w:pPr>
              <w:jc w:val="left"/>
            </w:pPr>
            <w:r>
              <w:rPr>
                <w:b w:val="false"/>
                <w:bCs w:val="false"/>
                <w:color w:val="000000"/>
                <w:sz w:val="18"/>
                <w:szCs w:val="18"/>
              </w:rPr>
              <w:t xml:space="preserve">0.9875</w:t>
            </w:r>
          </w:p>
        </w:tc>
      </w:tr>
      <w:tr>
        <w:tc>
          <w:tcPr>
            <w:tcW w:type="dxa" w:w="3249"/>
            <w:shd w:fill="F4F6F8" w:val="clear"/>
            <w:tcMar>
              <w:top w:type="dxa" w:w="70"/>
              <w:left w:type="dxa" w:w="90"/>
              <w:bottom w:type="dxa" w:w="70"/>
              <w:right w:type="dxa" w:w="90"/>
            </w:tcMar>
            <w:vAlign w:val="center"/>
          </w:tcPr>
          <w:p>
            <w:pPr>
              <w:jc w:val="left"/>
            </w:pPr>
            <w:r>
              <w:rPr>
                <w:b w:val="false"/>
                <w:bCs w:val="false"/>
                <w:color w:val="000000"/>
                <w:sz w:val="18"/>
                <w:szCs w:val="18"/>
              </w:rPr>
              <w:t xml:space="preserve">r(B̄,λ₂) out-of-sample (n=105)</w:t>
            </w:r>
          </w:p>
        </w:tc>
        <w:tc>
          <w:tcPr>
            <w:tcW w:type="dxa" w:w="2888"/>
            <w:shd w:fill="F4F6F8" w:val="clear"/>
            <w:tcMar>
              <w:top w:type="dxa" w:w="70"/>
              <w:left w:type="dxa" w:w="90"/>
              <w:bottom w:type="dxa" w:w="70"/>
              <w:right w:type="dxa" w:w="90"/>
            </w:tcMar>
            <w:vAlign w:val="center"/>
          </w:tcPr>
          <w:p>
            <w:pPr>
              <w:jc w:val="left"/>
            </w:pPr>
            <w:r>
              <w:rPr>
                <w:b w:val="false"/>
                <w:bCs w:val="false"/>
                <w:color w:val="000000"/>
                <w:sz w:val="18"/>
                <w:szCs w:val="18"/>
              </w:rPr>
              <w:t xml:space="preserve">0.975</w:t>
            </w:r>
          </w:p>
        </w:tc>
        <w:tc>
          <w:tcPr>
            <w:tcW w:type="dxa" w:w="2888"/>
            <w:shd w:fill="F4F6F8" w:val="clear"/>
            <w:tcMar>
              <w:top w:type="dxa" w:w="70"/>
              <w:left w:type="dxa" w:w="90"/>
              <w:bottom w:type="dxa" w:w="70"/>
              <w:right w:type="dxa" w:w="90"/>
            </w:tcMar>
            <w:vAlign w:val="center"/>
          </w:tcPr>
          <w:p>
            <w:pPr>
              <w:jc w:val="left"/>
            </w:pPr>
            <w:r>
              <w:rPr>
                <w:b w:val="false"/>
                <w:bCs w:val="false"/>
                <w:color w:val="000000"/>
                <w:sz w:val="18"/>
                <w:szCs w:val="18"/>
              </w:rPr>
              <w:t xml:space="preserve">0.9746</w:t>
            </w:r>
          </w:p>
        </w:tc>
      </w:tr>
      <w:tr>
        <w:tc>
          <w:tcPr>
            <w:tcW w:type="dxa" w:w="3249"/>
            <w:tcMar>
              <w:top w:type="dxa" w:w="70"/>
              <w:left w:type="dxa" w:w="90"/>
              <w:bottom w:type="dxa" w:w="70"/>
              <w:right w:type="dxa" w:w="90"/>
            </w:tcMar>
            <w:vAlign w:val="center"/>
          </w:tcPr>
          <w:p>
            <w:pPr>
              <w:jc w:val="left"/>
            </w:pPr>
            <w:r>
              <w:rPr>
                <w:b w:val="false"/>
                <w:bCs w:val="false"/>
                <w:color w:val="000000"/>
                <w:sz w:val="18"/>
                <w:szCs w:val="18"/>
              </w:rPr>
              <w:t xml:space="preserve">Entity-level r range (9 firms)</w:t>
            </w:r>
          </w:p>
        </w:tc>
        <w:tc>
          <w:tcPr>
            <w:tcW w:type="dxa" w:w="2888"/>
            <w:tcMar>
              <w:top w:type="dxa" w:w="70"/>
              <w:left w:type="dxa" w:w="90"/>
              <w:bottom w:type="dxa" w:w="70"/>
              <w:right w:type="dxa" w:w="90"/>
            </w:tcMar>
            <w:vAlign w:val="center"/>
          </w:tcPr>
          <w:p>
            <w:pPr>
              <w:jc w:val="left"/>
            </w:pPr>
            <w:r>
              <w:rPr>
                <w:b w:val="false"/>
                <w:bCs w:val="false"/>
                <w:color w:val="000000"/>
                <w:sz w:val="18"/>
                <w:szCs w:val="18"/>
              </w:rPr>
              <w:t xml:space="preserve">0.933–0.994</w:t>
            </w:r>
          </w:p>
        </w:tc>
        <w:tc>
          <w:tcPr>
            <w:tcW w:type="dxa" w:w="2888"/>
            <w:tcMar>
              <w:top w:type="dxa" w:w="70"/>
              <w:left w:type="dxa" w:w="90"/>
              <w:bottom w:type="dxa" w:w="70"/>
              <w:right w:type="dxa" w:w="90"/>
            </w:tcMar>
            <w:vAlign w:val="center"/>
          </w:tcPr>
          <w:p>
            <w:pPr>
              <w:jc w:val="left"/>
            </w:pPr>
            <w:r>
              <w:rPr>
                <w:b w:val="false"/>
                <w:bCs w:val="false"/>
                <w:color w:val="000000"/>
                <w:sz w:val="18"/>
                <w:szCs w:val="18"/>
              </w:rPr>
              <w:t xml:space="preserve">0.9333–0.9941</w:t>
            </w:r>
          </w:p>
        </w:tc>
      </w:tr>
      <w:tr>
        <w:tc>
          <w:tcPr>
            <w:tcW w:type="dxa" w:w="3249"/>
            <w:shd w:fill="F4F6F8" w:val="clear"/>
            <w:tcMar>
              <w:top w:type="dxa" w:w="70"/>
              <w:left w:type="dxa" w:w="90"/>
              <w:bottom w:type="dxa" w:w="70"/>
              <w:right w:type="dxa" w:w="90"/>
            </w:tcMar>
            <w:vAlign w:val="center"/>
          </w:tcPr>
          <w:p>
            <w:pPr>
              <w:jc w:val="left"/>
            </w:pPr>
            <w:r>
              <w:rPr>
                <w:b w:val="false"/>
                <w:bCs w:val="false"/>
                <w:color w:val="000000"/>
                <w:sz w:val="18"/>
                <w:szCs w:val="18"/>
              </w:rPr>
              <w:t xml:space="preserve">Regression slope difference</w:t>
            </w:r>
          </w:p>
        </w:tc>
        <w:tc>
          <w:tcPr>
            <w:tcW w:type="dxa" w:w="2888"/>
            <w:shd w:fill="F4F6F8" w:val="clear"/>
            <w:tcMar>
              <w:top w:type="dxa" w:w="70"/>
              <w:left w:type="dxa" w:w="90"/>
              <w:bottom w:type="dxa" w:w="70"/>
              <w:right w:type="dxa" w:w="90"/>
            </w:tcMar>
            <w:vAlign w:val="center"/>
          </w:tcPr>
          <w:p>
            <w:pPr>
              <w:jc w:val="left"/>
            </w:pPr>
            <w:r>
              <w:rPr>
                <w:b w:val="false"/>
                <w:bCs w:val="false"/>
                <w:color w:val="000000"/>
                <w:sz w:val="18"/>
                <w:szCs w:val="18"/>
              </w:rPr>
              <w:t xml:space="preserve">&lt; 7%</w:t>
            </w:r>
          </w:p>
        </w:tc>
        <w:tc>
          <w:tcPr>
            <w:tcW w:type="dxa" w:w="2888"/>
            <w:shd w:fill="F4F6F8" w:val="clear"/>
            <w:tcMar>
              <w:top w:type="dxa" w:w="70"/>
              <w:left w:type="dxa" w:w="90"/>
              <w:bottom w:type="dxa" w:w="70"/>
              <w:right w:type="dxa" w:w="90"/>
            </w:tcMar>
            <w:vAlign w:val="center"/>
          </w:tcPr>
          <w:p>
            <w:pPr>
              <w:jc w:val="left"/>
            </w:pPr>
            <w:r>
              <w:rPr>
                <w:b w:val="false"/>
                <w:bCs w:val="false"/>
                <w:color w:val="000000"/>
                <w:sz w:val="18"/>
                <w:szCs w:val="18"/>
              </w:rPr>
              <w:t xml:space="preserve">6.43%</w:t>
            </w:r>
          </w:p>
        </w:tc>
      </w:tr>
      <w:tr>
        <w:tc>
          <w:tcPr>
            <w:tcW w:type="dxa" w:w="3249"/>
            <w:tcMar>
              <w:top w:type="dxa" w:w="70"/>
              <w:left w:type="dxa" w:w="90"/>
              <w:bottom w:type="dxa" w:w="70"/>
              <w:right w:type="dxa" w:w="90"/>
            </w:tcMar>
            <w:vAlign w:val="center"/>
          </w:tcPr>
          <w:p>
            <w:pPr>
              <w:jc w:val="left"/>
            </w:pPr>
            <w:r>
              <w:rPr>
                <w:b w:val="false"/>
                <w:bCs w:val="false"/>
                <w:color w:val="000000"/>
                <w:sz w:val="18"/>
                <w:szCs w:val="18"/>
              </w:rPr>
              <w:t xml:space="preserve">B̄: KS D / MW p / d / shift</w:t>
            </w:r>
          </w:p>
        </w:tc>
        <w:tc>
          <w:tcPr>
            <w:tcW w:type="dxa" w:w="2888"/>
            <w:tcMar>
              <w:top w:type="dxa" w:w="70"/>
              <w:left w:type="dxa" w:w="90"/>
              <w:bottom w:type="dxa" w:w="70"/>
              <w:right w:type="dxa" w:w="90"/>
            </w:tcMar>
            <w:vAlign w:val="center"/>
          </w:tcPr>
          <w:p>
            <w:pPr>
              <w:jc w:val="left"/>
            </w:pPr>
            <w:r>
              <w:rPr>
                <w:b w:val="false"/>
                <w:bCs w:val="false"/>
                <w:color w:val="000000"/>
                <w:sz w:val="18"/>
                <w:szCs w:val="18"/>
              </w:rPr>
              <w:t xml:space="preserve">0.214 / 0.011 / 0.380 / +10.4%</w:t>
            </w:r>
          </w:p>
        </w:tc>
        <w:tc>
          <w:tcPr>
            <w:tcW w:type="dxa" w:w="2888"/>
            <w:tcMar>
              <w:top w:type="dxa" w:w="70"/>
              <w:left w:type="dxa" w:w="90"/>
              <w:bottom w:type="dxa" w:w="70"/>
              <w:right w:type="dxa" w:w="90"/>
            </w:tcMar>
            <w:vAlign w:val="center"/>
          </w:tcPr>
          <w:p>
            <w:pPr>
              <w:jc w:val="left"/>
            </w:pPr>
            <w:r>
              <w:rPr>
                <w:b w:val="false"/>
                <w:bCs w:val="false"/>
                <w:color w:val="000000"/>
                <w:sz w:val="18"/>
                <w:szCs w:val="18"/>
              </w:rPr>
              <w:t xml:space="preserve">identical to 3 d.p.</w:t>
            </w:r>
          </w:p>
        </w:tc>
      </w:tr>
      <w:tr>
        <w:tc>
          <w:tcPr>
            <w:tcW w:type="dxa" w:w="3249"/>
            <w:shd w:fill="F4F6F8" w:val="clear"/>
            <w:tcMar>
              <w:top w:type="dxa" w:w="70"/>
              <w:left w:type="dxa" w:w="90"/>
              <w:bottom w:type="dxa" w:w="70"/>
              <w:right w:type="dxa" w:w="90"/>
            </w:tcMar>
            <w:vAlign w:val="center"/>
          </w:tcPr>
          <w:p>
            <w:pPr>
              <w:jc w:val="left"/>
            </w:pPr>
            <w:r>
              <w:rPr>
                <w:b w:val="false"/>
                <w:bCs w:val="false"/>
                <w:color w:val="000000"/>
                <w:sz w:val="18"/>
                <w:szCs w:val="18"/>
              </w:rPr>
              <w:t xml:space="preserve">λ₂: KS D / MW p / d / shift</w:t>
            </w:r>
          </w:p>
        </w:tc>
        <w:tc>
          <w:tcPr>
            <w:tcW w:type="dxa" w:w="2888"/>
            <w:shd w:fill="F4F6F8" w:val="clear"/>
            <w:tcMar>
              <w:top w:type="dxa" w:w="70"/>
              <w:left w:type="dxa" w:w="90"/>
              <w:bottom w:type="dxa" w:w="70"/>
              <w:right w:type="dxa" w:w="90"/>
            </w:tcMar>
            <w:vAlign w:val="center"/>
          </w:tcPr>
          <w:p>
            <w:pPr>
              <w:jc w:val="left"/>
            </w:pPr>
            <w:r>
              <w:rPr>
                <w:b w:val="false"/>
                <w:bCs w:val="false"/>
                <w:color w:val="000000"/>
                <w:sz w:val="18"/>
                <w:szCs w:val="18"/>
              </w:rPr>
              <w:t xml:space="preserve">0.276 / 0.003 / 0.423 / +12.2%</w:t>
            </w:r>
          </w:p>
        </w:tc>
        <w:tc>
          <w:tcPr>
            <w:tcW w:type="dxa" w:w="2888"/>
            <w:shd w:fill="F4F6F8" w:val="clear"/>
            <w:tcMar>
              <w:top w:type="dxa" w:w="70"/>
              <w:left w:type="dxa" w:w="90"/>
              <w:bottom w:type="dxa" w:w="70"/>
              <w:right w:type="dxa" w:w="90"/>
            </w:tcMar>
            <w:vAlign w:val="center"/>
          </w:tcPr>
          <w:p>
            <w:pPr>
              <w:jc w:val="left"/>
            </w:pPr>
            <w:r>
              <w:rPr>
                <w:b w:val="false"/>
                <w:bCs w:val="false"/>
                <w:color w:val="000000"/>
                <w:sz w:val="18"/>
                <w:szCs w:val="18"/>
              </w:rPr>
              <w:t xml:space="preserve">identical to 3 d.p.</w:t>
            </w:r>
          </w:p>
        </w:tc>
      </w:tr>
      <w:tr>
        <w:tc>
          <w:tcPr>
            <w:tcW w:type="dxa" w:w="3249"/>
            <w:tcMar>
              <w:top w:type="dxa" w:w="70"/>
              <w:left w:type="dxa" w:w="90"/>
              <w:bottom w:type="dxa" w:w="70"/>
              <w:right w:type="dxa" w:w="90"/>
            </w:tcMar>
            <w:vAlign w:val="center"/>
          </w:tcPr>
          <w:p>
            <w:pPr>
              <w:jc w:val="left"/>
            </w:pPr>
            <w:r>
              <w:rPr>
                <w:b w:val="false"/>
                <w:bCs w:val="false"/>
                <w:color w:val="000000"/>
                <w:sz w:val="18"/>
                <w:szCs w:val="18"/>
              </w:rPr>
              <w:t xml:space="preserve">Band containment wide / tight</w:t>
            </w:r>
          </w:p>
        </w:tc>
        <w:tc>
          <w:tcPr>
            <w:tcW w:type="dxa" w:w="2888"/>
            <w:tcMar>
              <w:top w:type="dxa" w:w="70"/>
              <w:left w:type="dxa" w:w="90"/>
              <w:bottom w:type="dxa" w:w="70"/>
              <w:right w:type="dxa" w:w="90"/>
            </w:tcMar>
            <w:vAlign w:val="center"/>
          </w:tcPr>
          <w:p>
            <w:pPr>
              <w:jc w:val="left"/>
            </w:pPr>
            <w:r>
              <w:rPr>
                <w:b w:val="false"/>
                <w:bCs w:val="false"/>
                <w:color w:val="000000"/>
                <w:sz w:val="18"/>
                <w:szCs w:val="18"/>
              </w:rPr>
              <w:t xml:space="preserve">98.1% / 27.6%</w:t>
            </w:r>
          </w:p>
        </w:tc>
        <w:tc>
          <w:tcPr>
            <w:tcW w:type="dxa" w:w="2888"/>
            <w:tcMar>
              <w:top w:type="dxa" w:w="70"/>
              <w:left w:type="dxa" w:w="90"/>
              <w:bottom w:type="dxa" w:w="70"/>
              <w:right w:type="dxa" w:w="90"/>
            </w:tcMar>
            <w:vAlign w:val="center"/>
          </w:tcPr>
          <w:p>
            <w:pPr>
              <w:jc w:val="left"/>
            </w:pPr>
            <w:r>
              <w:rPr>
                <w:b w:val="false"/>
                <w:bCs w:val="false"/>
                <w:color w:val="000000"/>
                <w:sz w:val="18"/>
                <w:szCs w:val="18"/>
              </w:rPr>
              <w:t xml:space="preserve">98.1% / 27.6%</w:t>
            </w:r>
          </w:p>
        </w:tc>
      </w:tr>
      <w:tr>
        <w:tc>
          <w:tcPr>
            <w:tcW w:type="dxa" w:w="3249"/>
            <w:shd w:fill="F4F6F8" w:val="clear"/>
            <w:tcMar>
              <w:top w:type="dxa" w:w="70"/>
              <w:left w:type="dxa" w:w="90"/>
              <w:bottom w:type="dxa" w:w="70"/>
              <w:right w:type="dxa" w:w="90"/>
            </w:tcMar>
            <w:vAlign w:val="center"/>
          </w:tcPr>
          <w:p>
            <w:pPr>
              <w:jc w:val="left"/>
            </w:pPr>
            <w:r>
              <w:rPr>
                <w:b w:val="false"/>
                <w:bCs w:val="false"/>
                <w:color w:val="000000"/>
                <w:sz w:val="18"/>
                <w:szCs w:val="18"/>
              </w:rPr>
              <w:t xml:space="preserve">Bottleneck concordance in / out</w:t>
            </w:r>
          </w:p>
        </w:tc>
        <w:tc>
          <w:tcPr>
            <w:tcW w:type="dxa" w:w="2888"/>
            <w:shd w:fill="F4F6F8" w:val="clear"/>
            <w:tcMar>
              <w:top w:type="dxa" w:w="70"/>
              <w:left w:type="dxa" w:w="90"/>
              <w:bottom w:type="dxa" w:w="70"/>
              <w:right w:type="dxa" w:w="90"/>
            </w:tcMar>
            <w:vAlign w:val="center"/>
          </w:tcPr>
          <w:p>
            <w:pPr>
              <w:jc w:val="left"/>
            </w:pPr>
            <w:r>
              <w:rPr>
                <w:b w:val="false"/>
                <w:bCs w:val="false"/>
                <w:color w:val="000000"/>
                <w:sz w:val="18"/>
                <w:szCs w:val="18"/>
              </w:rPr>
              <w:t xml:space="preserve">38.1% / 34.3%</w:t>
            </w:r>
          </w:p>
        </w:tc>
        <w:tc>
          <w:tcPr>
            <w:tcW w:type="dxa" w:w="2888"/>
            <w:shd w:fill="F4F6F8" w:val="clear"/>
            <w:tcMar>
              <w:top w:type="dxa" w:w="70"/>
              <w:left w:type="dxa" w:w="90"/>
              <w:bottom w:type="dxa" w:w="70"/>
              <w:right w:type="dxa" w:w="90"/>
            </w:tcMar>
            <w:vAlign w:val="center"/>
          </w:tcPr>
          <w:p>
            <w:pPr>
              <w:jc w:val="left"/>
            </w:pPr>
            <w:r>
              <w:rPr>
                <w:b w:val="false"/>
                <w:bCs w:val="false"/>
                <w:color w:val="000000"/>
                <w:sz w:val="18"/>
                <w:szCs w:val="18"/>
              </w:rPr>
              <w:t xml:space="preserve">38.1% / 34.3%, p=0.697</w:t>
            </w:r>
          </w:p>
        </w:tc>
      </w:tr>
      <w:tr>
        <w:tc>
          <w:tcPr>
            <w:tcW w:type="dxa" w:w="3249"/>
            <w:tcMar>
              <w:top w:type="dxa" w:w="70"/>
              <w:left w:type="dxa" w:w="90"/>
              <w:bottom w:type="dxa" w:w="70"/>
              <w:right w:type="dxa" w:w="90"/>
            </w:tcMar>
            <w:vAlign w:val="center"/>
          </w:tcPr>
          <w:p>
            <w:pPr>
              <w:jc w:val="left"/>
            </w:pPr>
            <w:r>
              <w:rPr>
                <w:b w:val="false"/>
                <w:bCs w:val="false"/>
                <w:color w:val="000000"/>
                <w:sz w:val="18"/>
                <w:szCs w:val="18"/>
              </w:rPr>
              <w:t xml:space="preserve">Denmark vs Corporate: KS D / d</w:t>
            </w:r>
          </w:p>
        </w:tc>
        <w:tc>
          <w:tcPr>
            <w:tcW w:type="dxa" w:w="2888"/>
            <w:tcMar>
              <w:top w:type="dxa" w:w="70"/>
              <w:left w:type="dxa" w:w="90"/>
              <w:bottom w:type="dxa" w:w="70"/>
              <w:right w:type="dxa" w:w="90"/>
            </w:tcMar>
            <w:vAlign w:val="center"/>
          </w:tcPr>
          <w:p>
            <w:pPr>
              <w:jc w:val="left"/>
            </w:pPr>
            <w:r>
              <w:rPr>
                <w:b w:val="false"/>
                <w:bCs w:val="false"/>
                <w:color w:val="000000"/>
                <w:sz w:val="18"/>
                <w:szCs w:val="18"/>
              </w:rPr>
              <w:t xml:space="preserve">0.853 / +2.25</w:t>
            </w:r>
          </w:p>
        </w:tc>
        <w:tc>
          <w:tcPr>
            <w:tcW w:type="dxa" w:w="2888"/>
            <w:tcMar>
              <w:top w:type="dxa" w:w="70"/>
              <w:left w:type="dxa" w:w="90"/>
              <w:bottom w:type="dxa" w:w="70"/>
              <w:right w:type="dxa" w:w="90"/>
            </w:tcMar>
            <w:vAlign w:val="center"/>
          </w:tcPr>
          <w:p>
            <w:pPr>
              <w:jc w:val="left"/>
            </w:pPr>
            <w:r>
              <w:rPr>
                <w:b w:val="false"/>
                <w:bCs w:val="false"/>
                <w:color w:val="000000"/>
                <w:sz w:val="18"/>
                <w:szCs w:val="18"/>
              </w:rPr>
              <w:t xml:space="preserve">0.853 / 2.249</w:t>
            </w:r>
          </w:p>
        </w:tc>
      </w:tr>
      <w:tr>
        <w:tc>
          <w:tcPr>
            <w:tcW w:type="dxa" w:w="3249"/>
            <w:shd w:fill="F4F6F8" w:val="clear"/>
            <w:tcMar>
              <w:top w:type="dxa" w:w="70"/>
              <w:left w:type="dxa" w:w="90"/>
              <w:bottom w:type="dxa" w:w="70"/>
              <w:right w:type="dxa" w:w="90"/>
            </w:tcMar>
            <w:vAlign w:val="center"/>
          </w:tcPr>
          <w:p>
            <w:pPr>
              <w:jc w:val="left"/>
            </w:pPr>
            <w:r>
              <w:rPr>
                <w:b w:val="false"/>
                <w:bCs w:val="false"/>
                <w:color w:val="000000"/>
                <w:sz w:val="18"/>
                <w:szCs w:val="18"/>
              </w:rPr>
              <w:t xml:space="preserve">Denmark B̄ range / containment</w:t>
            </w:r>
          </w:p>
        </w:tc>
        <w:tc>
          <w:tcPr>
            <w:tcW w:type="dxa" w:w="2888"/>
            <w:shd w:fill="F4F6F8" w:val="clear"/>
            <w:tcMar>
              <w:top w:type="dxa" w:w="70"/>
              <w:left w:type="dxa" w:w="90"/>
              <w:bottom w:type="dxa" w:w="70"/>
              <w:right w:type="dxa" w:w="90"/>
            </w:tcMar>
            <w:vAlign w:val="center"/>
          </w:tcPr>
          <w:p>
            <w:pPr>
              <w:jc w:val="left"/>
            </w:pPr>
            <w:r>
              <w:rPr>
                <w:b w:val="false"/>
                <w:bCs w:val="false"/>
                <w:color w:val="000000"/>
                <w:sz w:val="18"/>
                <w:szCs w:val="18"/>
              </w:rPr>
              <w:t xml:space="preserve">[0.223, 0.876] / 19.3%</w:t>
            </w:r>
          </w:p>
        </w:tc>
        <w:tc>
          <w:tcPr>
            <w:tcW w:type="dxa" w:w="2888"/>
            <w:shd w:fill="F4F6F8" w:val="clear"/>
            <w:tcMar>
              <w:top w:type="dxa" w:w="70"/>
              <w:left w:type="dxa" w:w="90"/>
              <w:bottom w:type="dxa" w:w="70"/>
              <w:right w:type="dxa" w:w="90"/>
            </w:tcMar>
            <w:vAlign w:val="center"/>
          </w:tcPr>
          <w:p>
            <w:pPr>
              <w:jc w:val="left"/>
            </w:pPr>
            <w:r>
              <w:rPr>
                <w:b w:val="false"/>
                <w:bCs w:val="false"/>
                <w:color w:val="000000"/>
                <w:sz w:val="18"/>
                <w:szCs w:val="18"/>
              </w:rPr>
              <w:t xml:space="preserve">[0.2234, 0.8759] / 19.3%</w:t>
            </w:r>
          </w:p>
        </w:tc>
      </w:tr>
      <w:tr>
        <w:tc>
          <w:tcPr>
            <w:tcW w:type="dxa" w:w="3249"/>
            <w:tcMar>
              <w:top w:type="dxa" w:w="70"/>
              <w:left w:type="dxa" w:w="90"/>
              <w:bottom w:type="dxa" w:w="70"/>
              <w:right w:type="dxa" w:w="90"/>
            </w:tcMar>
            <w:vAlign w:val="center"/>
          </w:tcPr>
          <w:p>
            <w:pPr>
              <w:jc w:val="left"/>
            </w:pPr>
            <w:r>
              <w:rPr>
                <w:b w:val="false"/>
                <w:bCs w:val="false"/>
                <w:color w:val="000000"/>
                <w:sz w:val="18"/>
                <w:szCs w:val="18"/>
              </w:rPr>
              <w:t xml:space="preserve">France vs Corporate: KS D / p / MW p</w:t>
            </w:r>
          </w:p>
        </w:tc>
        <w:tc>
          <w:tcPr>
            <w:tcW w:type="dxa" w:w="2888"/>
            <w:tcMar>
              <w:top w:type="dxa" w:w="70"/>
              <w:left w:type="dxa" w:w="90"/>
              <w:bottom w:type="dxa" w:w="70"/>
              <w:right w:type="dxa" w:w="90"/>
            </w:tcMar>
            <w:vAlign w:val="center"/>
          </w:tcPr>
          <w:p>
            <w:pPr>
              <w:jc w:val="left"/>
            </w:pPr>
            <w:r>
              <w:rPr>
                <w:b w:val="false"/>
                <w:bCs w:val="false"/>
                <w:color w:val="000000"/>
                <w:sz w:val="18"/>
                <w:szCs w:val="18"/>
              </w:rPr>
              <w:t xml:space="preserve">0.145 / 0.037 / 0.025</w:t>
            </w:r>
          </w:p>
        </w:tc>
        <w:tc>
          <w:tcPr>
            <w:tcW w:type="dxa" w:w="2888"/>
            <w:tcMar>
              <w:top w:type="dxa" w:w="70"/>
              <w:left w:type="dxa" w:w="90"/>
              <w:bottom w:type="dxa" w:w="70"/>
              <w:right w:type="dxa" w:w="90"/>
            </w:tcMar>
            <w:vAlign w:val="center"/>
          </w:tcPr>
          <w:p>
            <w:pPr>
              <w:jc w:val="left"/>
            </w:pPr>
            <w:r>
              <w:rPr>
                <w:b w:val="false"/>
                <w:bCs w:val="false"/>
                <w:color w:val="000000"/>
                <w:sz w:val="18"/>
                <w:szCs w:val="18"/>
              </w:rPr>
              <w:t xml:space="preserve">0.1451 / 0.0373 / 0.0247</w:t>
            </w:r>
          </w:p>
        </w:tc>
      </w:tr>
      <w:tr>
        <w:tc>
          <w:tcPr>
            <w:tcW w:type="dxa" w:w="3249"/>
            <w:shd w:fill="F4F6F8" w:val="clear"/>
            <w:tcMar>
              <w:top w:type="dxa" w:w="70"/>
              <w:left w:type="dxa" w:w="90"/>
              <w:bottom w:type="dxa" w:w="70"/>
              <w:right w:type="dxa" w:w="90"/>
            </w:tcMar>
            <w:vAlign w:val="center"/>
          </w:tcPr>
          <w:p>
            <w:pPr>
              <w:jc w:val="left"/>
            </w:pPr>
            <w:r>
              <w:rPr>
                <w:b w:val="false"/>
                <w:bCs w:val="false"/>
                <w:color w:val="000000"/>
                <w:sz w:val="18"/>
                <w:szCs w:val="18"/>
              </w:rPr>
              <w:t xml:space="preserve">France B̄ range / containment</w:t>
            </w:r>
          </w:p>
        </w:tc>
        <w:tc>
          <w:tcPr>
            <w:tcW w:type="dxa" w:w="2888"/>
            <w:shd w:fill="F4F6F8" w:val="clear"/>
            <w:tcMar>
              <w:top w:type="dxa" w:w="70"/>
              <w:left w:type="dxa" w:w="90"/>
              <w:bottom w:type="dxa" w:w="70"/>
              <w:right w:type="dxa" w:w="90"/>
            </w:tcMar>
            <w:vAlign w:val="center"/>
          </w:tcPr>
          <w:p>
            <w:pPr>
              <w:jc w:val="left"/>
            </w:pPr>
            <w:r>
              <w:rPr>
                <w:b w:val="false"/>
                <w:bCs w:val="false"/>
                <w:color w:val="000000"/>
                <w:sz w:val="18"/>
                <w:szCs w:val="18"/>
              </w:rPr>
              <w:t xml:space="preserve">[0.067, 0.491] / 94.9%</w:t>
            </w:r>
          </w:p>
        </w:tc>
        <w:tc>
          <w:tcPr>
            <w:tcW w:type="dxa" w:w="2888"/>
            <w:shd w:fill="F4F6F8" w:val="clear"/>
            <w:tcMar>
              <w:top w:type="dxa" w:w="70"/>
              <w:left w:type="dxa" w:w="90"/>
              <w:bottom w:type="dxa" w:w="70"/>
              <w:right w:type="dxa" w:w="90"/>
            </w:tcMar>
            <w:vAlign w:val="center"/>
          </w:tcPr>
          <w:p>
            <w:pPr>
              <w:jc w:val="left"/>
            </w:pPr>
            <w:r>
              <w:rPr>
                <w:b w:val="false"/>
                <w:bCs w:val="false"/>
                <w:color w:val="000000"/>
                <w:sz w:val="18"/>
                <w:szCs w:val="18"/>
              </w:rPr>
              <w:t xml:space="preserve">[0.0670, 0.4913] / 94.9%</w:t>
            </w:r>
          </w:p>
        </w:tc>
      </w:tr>
      <w:tr>
        <w:tc>
          <w:tcPr>
            <w:tcW w:type="dxa" w:w="3249"/>
            <w:tcMar>
              <w:top w:type="dxa" w:w="70"/>
              <w:left w:type="dxa" w:w="90"/>
              <w:bottom w:type="dxa" w:w="70"/>
              <w:right w:type="dxa" w:w="90"/>
            </w:tcMar>
            <w:vAlign w:val="center"/>
          </w:tcPr>
          <w:p>
            <w:pPr>
              <w:jc w:val="left"/>
            </w:pPr>
            <w:r>
              <w:rPr>
                <w:b w:val="false"/>
                <w:bCs w:val="false"/>
                <w:color w:val="000000"/>
                <w:sz w:val="18"/>
                <w:szCs w:val="18"/>
              </w:rPr>
              <w:t xml:space="preserve">Denmark vs France: KS D / d</w:t>
            </w:r>
          </w:p>
        </w:tc>
        <w:tc>
          <w:tcPr>
            <w:tcW w:type="dxa" w:w="2888"/>
            <w:tcMar>
              <w:top w:type="dxa" w:w="70"/>
              <w:left w:type="dxa" w:w="90"/>
              <w:bottom w:type="dxa" w:w="70"/>
              <w:right w:type="dxa" w:w="90"/>
            </w:tcMar>
            <w:vAlign w:val="center"/>
          </w:tcPr>
          <w:p>
            <w:pPr>
              <w:jc w:val="left"/>
            </w:pPr>
            <w:r>
              <w:rPr>
                <w:b w:val="false"/>
                <w:bCs w:val="false"/>
                <w:color w:val="000000"/>
                <w:sz w:val="18"/>
                <w:szCs w:val="18"/>
              </w:rPr>
              <w:t xml:space="preserve">0.808 / +2.36</w:t>
            </w:r>
          </w:p>
        </w:tc>
        <w:tc>
          <w:tcPr>
            <w:tcW w:type="dxa" w:w="2888"/>
            <w:tcMar>
              <w:top w:type="dxa" w:w="70"/>
              <w:left w:type="dxa" w:w="90"/>
              <w:bottom w:type="dxa" w:w="70"/>
              <w:right w:type="dxa" w:w="90"/>
            </w:tcMar>
            <w:vAlign w:val="center"/>
          </w:tcPr>
          <w:p>
            <w:pPr>
              <w:jc w:val="left"/>
            </w:pPr>
            <w:r>
              <w:rPr>
                <w:b w:val="false"/>
                <w:bCs w:val="false"/>
                <w:color w:val="000000"/>
                <w:sz w:val="18"/>
                <w:szCs w:val="18"/>
              </w:rPr>
              <w:t xml:space="preserve">0.8075 / 2.359</w:t>
            </w:r>
          </w:p>
        </w:tc>
      </w:tr>
    </w:tbl>
    <w:p>
      <w:pPr>
        <w:spacing w:after="300" w:before="80"/>
        <w:jc w:val="center"/>
      </w:pPr>
      <w:r>
        <w:rPr>
          <w:i/>
          <w:iCs/>
          <w:color w:val="555555"/>
          <w:sz w:val="18"/>
          <w:szCs w:val="18"/>
        </w:rPr>
        <w:t xml:space="preserve">Table 2 — All figures reproduce. Band containment matches only under a joint definition (B̄ and λ₂ simultaneously inside their in-sample IQR); France containment matches only against the 9-firm pooled band, as the paper specifies. Unchanged from v1.</w:t>
      </w:r>
    </w:p>
    <w:p>
      <w:pPr>
        <w:pStyle w:val="Heading2"/>
        <w:spacing w:after="120" w:before="280"/>
      </w:pPr>
      <w:r>
        <w:t xml:space="preserve">2.1 Item for correction</w:t>
      </w:r>
    </w:p>
    <w:p>
      <w:pPr>
        <w:pStyle w:val="ListParagraph"/>
        <w:numPr>
          <w:ilvl w:val="0"/>
          <w:numId w:val="2"/>
        </w:numPr>
        <w:spacing w:after="100" w:line="276"/>
      </w:pPr>
      <w:r>
        <w:rPr>
          <w:sz w:val="22"/>
          <w:szCs w:val="22"/>
        </w:rPr>
        <w:t xml:space="preserve">Falsification criterion F-P4.3 is stated as “if out-of-sample same-class DKS &gt; 0.20, class-pooling is invalid (triggered).” The paper's own §1.2 reports DKS = 0.214 (B̄) and 0.276 (λ₂), both exceeding 0.20. The status table nonetheless records “NOT TRIGGERED (within-class DKS &lt; 0.28)” — a threshold that is not the criterion's own. P.4.3 (threshold relativity) is supported regardless; the status-table justification is not.</w:t>
      </w:r>
    </w:p>
    <w:p>
      <w:pPr>
        <w:spacing w:after="0" w:before="200"/>
        <w:jc w:val="center"/>
      </w:pPr>
      <w:r>
        <w:drawing>
          <wp:inline distT="0" distB="0" distL="0" distR="0">
            <wp:extent cx="3905250" cy="3276600"/>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8" cstate="none"/>
                    <a:srcRect/>
                    <a:stretch>
                      <a:fillRect/>
                    </a:stretch>
                  </pic:blipFill>
                  <pic:spPr bwMode="auto">
                    <a:xfrm>
                      <a:off x="0" y="0"/>
                      <a:ext cx="3905250" cy="3276600"/>
                    </a:xfrm>
                    <a:prstGeom prst="rect">
                      <a:avLst/>
                    </a:prstGeom>
                  </pic:spPr>
                </pic:pic>
              </a:graphicData>
            </a:graphic>
          </wp:inline>
        </w:drawing>
      </w:r>
    </w:p>
    <w:p>
      <w:pPr>
        <w:spacing w:after="300" w:before="80"/>
        <w:jc w:val="center"/>
      </w:pPr>
      <w:r>
        <w:rPr>
          <w:i/>
          <w:iCs/>
          <w:color w:val="555555"/>
          <w:sz w:val="18"/>
          <w:szCs w:val="18"/>
        </w:rPr>
        <w:t xml:space="preserve">Figure 2 — Structural portability (tight linear coupling) alongside the parametric baseline shift.</w:t>
      </w:r>
    </w:p>
    <w:p>
      <w:pPr>
        <w:spacing w:after="0" w:before="200"/>
        <w:jc w:val="center"/>
      </w:pPr>
      <w:r>
        <w:drawing>
          <wp:inline distT="0" distB="0" distL="0" distR="0">
            <wp:extent cx="4381500" cy="2809875"/>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9" cstate="none"/>
                    <a:srcRect/>
                    <a:stretch>
                      <a:fillRect/>
                    </a:stretch>
                  </pic:blipFill>
                  <pic:spPr bwMode="auto">
                    <a:xfrm>
                      <a:off x="0" y="0"/>
                      <a:ext cx="4381500" cy="2809875"/>
                    </a:xfrm>
                    <a:prstGeom prst="rect">
                      <a:avLst/>
                    </a:prstGeom>
                  </pic:spPr>
                </pic:pic>
              </a:graphicData>
            </a:graphic>
          </wp:inline>
        </w:drawing>
      </w:r>
    </w:p>
    <w:p>
      <w:pPr>
        <w:spacing w:after="300" w:before="80"/>
        <w:jc w:val="center"/>
      </w:pPr>
      <w:r>
        <w:rPr>
          <w:i/>
          <w:iCs/>
          <w:color w:val="555555"/>
          <w:sz w:val="18"/>
          <w:szCs w:val="18"/>
        </w:rPr>
        <w:t xml:space="preserve">Figure 3 — Denmark separates from the corporate distribution; France, on its correct 1850–2026 vintage, overlaps almost entirely.</w:t>
      </w:r>
    </w:p>
    <w:p>
      <w:r>
        <w:br w:type="page"/>
      </w:r>
    </w:p>
    <w:p>
      <w:pPr>
        <w:pStyle w:val="Heading1"/>
        <w:spacing w:after="160" w:before="360"/>
      </w:pPr>
      <w:r>
        <w:t xml:space="preserve">3. The Soil-Bond Index (ηsoil)</w:t>
      </w:r>
    </w:p>
    <w:p>
      <w:pPr>
        <w:spacing w:after="160" w:line="276"/>
      </w:pPr>
      <w:r>
        <w:rPr>
          <w:b w:val="false"/>
          <w:bCs w:val="false"/>
          <w:i w:val="false"/>
          <w:iCs w:val="false"/>
          <w:sz w:val="22"/>
          <w:szCs w:val="22"/>
        </w:rPr>
        <w:t xml:space="preserve">Sources: Denmark (1752–2025, n=114), Iran (1875–2026, n=152), USA (1996–2026, n=31), China (1900–2026, n=127), Germany (1900–2026, n=86 — see §3.2), Australia (1895–2026, n=131). Node Value and stored bond strength reproduce exactly in all six.</w:t>
      </w:r>
    </w:p>
    <w:p>
      <w:pPr>
        <w:pStyle w:val="Heading2"/>
        <w:spacing w:after="120" w:before="280"/>
      </w:pPr>
      <w:r>
        <w:t xml:space="preserve">3.1 Validity screening (Denmark)</w:t>
      </w:r>
    </w:p>
    <w:tbl>
      <w:tblPr>
        <w:tblW w:type="dxa" w:w="9026"/>
        <w:tblBorders>
          <w:top w:val="single" w:color="999999" w:sz="4"/>
          <w:left w:val="single" w:color="999999" w:sz="4"/>
          <w:bottom w:val="single" w:color="999999" w:sz="4"/>
          <w:right w:val="single" w:color="999999" w:sz="4"/>
          <w:insideH w:val="single" w:color="CCCCCC" w:sz="2"/>
          <w:insideV w:val="single" w:color="CCCCCC" w:sz="2"/>
        </w:tblBorders>
      </w:tblPr>
      <w:tblGrid>
        <w:gridCol w:w="2527"/>
        <w:gridCol w:w="2708"/>
        <w:gridCol w:w="3791"/>
      </w:tblGrid>
      <w:tr>
        <w:trPr>
          <w:tblHeader/>
        </w:trPr>
        <w:tc>
          <w:tcPr>
            <w:tcW w:type="dxa" w:w="2527"/>
            <w:shd w:fill="2F3E4E" w:val="clear"/>
            <w:tcMar>
              <w:top w:type="dxa" w:w="70"/>
              <w:left w:type="dxa" w:w="90"/>
              <w:bottom w:type="dxa" w:w="70"/>
              <w:right w:type="dxa" w:w="90"/>
            </w:tcMar>
            <w:vAlign w:val="center"/>
          </w:tcPr>
          <w:p>
            <w:pPr>
              <w:jc w:val="center"/>
            </w:pPr>
            <w:r>
              <w:rPr>
                <w:b/>
                <w:bCs/>
                <w:color w:val="FFFFFF"/>
                <w:sz w:val="18"/>
                <w:szCs w:val="18"/>
              </w:rPr>
              <w:t xml:space="preserve">Precondition</w:t>
            </w:r>
          </w:p>
        </w:tc>
        <w:tc>
          <w:tcPr>
            <w:tcW w:type="dxa" w:w="2708"/>
            <w:shd w:fill="2F3E4E" w:val="clear"/>
            <w:tcMar>
              <w:top w:type="dxa" w:w="70"/>
              <w:left w:type="dxa" w:w="90"/>
              <w:bottom w:type="dxa" w:w="70"/>
              <w:right w:type="dxa" w:w="90"/>
            </w:tcMar>
            <w:vAlign w:val="center"/>
          </w:tcPr>
          <w:p>
            <w:pPr>
              <w:jc w:val="center"/>
            </w:pPr>
            <w:r>
              <w:rPr>
                <w:b/>
                <w:bCs/>
                <w:color w:val="FFFFFF"/>
                <w:sz w:val="18"/>
                <w:szCs w:val="18"/>
              </w:rPr>
              <w:t xml:space="preserve">Paper</w:t>
            </w:r>
          </w:p>
        </w:tc>
        <w:tc>
          <w:tcPr>
            <w:tcW w:type="dxa" w:w="3791"/>
            <w:shd w:fill="2F3E4E" w:val="clear"/>
            <w:tcMar>
              <w:top w:type="dxa" w:w="70"/>
              <w:left w:type="dxa" w:w="90"/>
              <w:bottom w:type="dxa" w:w="70"/>
              <w:right w:type="dxa" w:w="90"/>
            </w:tcMar>
            <w:vAlign w:val="center"/>
          </w:tcPr>
          <w:p>
            <w:pPr>
              <w:jc w:val="center"/>
            </w:pPr>
            <w:r>
              <w:rPr>
                <w:b/>
                <w:bCs/>
                <w:color w:val="FFFFFF"/>
                <w:sz w:val="18"/>
                <w:szCs w:val="18"/>
              </w:rPr>
              <w:t xml:space="preserve">Recomputed</w:t>
            </w:r>
          </w:p>
        </w:tc>
      </w:tr>
      <w:tr>
        <w:tc>
          <w:tcPr>
            <w:tcW w:type="dxa" w:w="2527"/>
            <w:tcMar>
              <w:top w:type="dxa" w:w="70"/>
              <w:left w:type="dxa" w:w="90"/>
              <w:bottom w:type="dxa" w:w="70"/>
              <w:right w:type="dxa" w:w="90"/>
            </w:tcMar>
            <w:vAlign w:val="center"/>
          </w:tcPr>
          <w:p>
            <w:pPr>
              <w:jc w:val="left"/>
            </w:pPr>
            <w:r>
              <w:rPr>
                <w:b w:val="false"/>
                <w:bCs w:val="false"/>
                <w:color w:val="000000"/>
                <w:sz w:val="18"/>
                <w:szCs w:val="18"/>
              </w:rPr>
              <w:t xml:space="preserve">P1: S_Hands = 0 rate</w:t>
            </w:r>
          </w:p>
        </w:tc>
        <w:tc>
          <w:tcPr>
            <w:tcW w:type="dxa" w:w="2708"/>
            <w:tcMar>
              <w:top w:type="dxa" w:w="70"/>
              <w:left w:type="dxa" w:w="90"/>
              <w:bottom w:type="dxa" w:w="70"/>
              <w:right w:type="dxa" w:w="90"/>
            </w:tcMar>
            <w:vAlign w:val="center"/>
          </w:tcPr>
          <w:p>
            <w:pPr>
              <w:jc w:val="left"/>
            </w:pPr>
            <w:r>
              <w:rPr>
                <w:b w:val="false"/>
                <w:bCs w:val="false"/>
                <w:color w:val="000000"/>
                <w:sz w:val="18"/>
                <w:szCs w:val="18"/>
              </w:rPr>
              <w:t xml:space="preserve">105/114 (92.1%)</w:t>
            </w:r>
          </w:p>
        </w:tc>
        <w:tc>
          <w:tcPr>
            <w:tcW w:type="dxa" w:w="3791"/>
            <w:tcMar>
              <w:top w:type="dxa" w:w="70"/>
              <w:left w:type="dxa" w:w="90"/>
              <w:bottom w:type="dxa" w:w="70"/>
              <w:right w:type="dxa" w:w="90"/>
            </w:tcMar>
            <w:vAlign w:val="center"/>
          </w:tcPr>
          <w:p>
            <w:pPr>
              <w:jc w:val="left"/>
            </w:pPr>
            <w:r>
              <w:rPr>
                <w:b w:val="false"/>
                <w:bCs w:val="false"/>
                <w:color w:val="000000"/>
                <w:sz w:val="18"/>
                <w:szCs w:val="18"/>
              </w:rPr>
              <w:t xml:space="preserve">105/114 (92.1%)</w:t>
            </w:r>
          </w:p>
        </w:tc>
      </w:tr>
      <w:tr>
        <w:tc>
          <w:tcPr>
            <w:tcW w:type="dxa" w:w="2527"/>
            <w:shd w:fill="F4F6F8" w:val="clear"/>
            <w:tcMar>
              <w:top w:type="dxa" w:w="70"/>
              <w:left w:type="dxa" w:w="90"/>
              <w:bottom w:type="dxa" w:w="70"/>
              <w:right w:type="dxa" w:w="90"/>
            </w:tcMar>
            <w:vAlign w:val="center"/>
          </w:tcPr>
          <w:p>
            <w:pPr>
              <w:jc w:val="left"/>
            </w:pPr>
            <w:r>
              <w:rPr>
                <w:b w:val="false"/>
                <w:bCs w:val="false"/>
                <w:color w:val="000000"/>
                <w:sz w:val="18"/>
                <w:szCs w:val="18"/>
              </w:rPr>
              <w:t xml:space="preserve">P2: S_Hands range</w:t>
            </w:r>
          </w:p>
        </w:tc>
        <w:tc>
          <w:tcPr>
            <w:tcW w:type="dxa" w:w="2708"/>
            <w:shd w:fill="F4F6F8" w:val="clear"/>
            <w:tcMar>
              <w:top w:type="dxa" w:w="70"/>
              <w:left w:type="dxa" w:w="90"/>
              <w:bottom w:type="dxa" w:w="70"/>
              <w:right w:type="dxa" w:w="90"/>
            </w:tcMar>
            <w:vAlign w:val="center"/>
          </w:tcPr>
          <w:p>
            <w:pPr>
              <w:jc w:val="left"/>
            </w:pPr>
            <w:r>
              <w:rPr>
                <w:b w:val="false"/>
                <w:bCs w:val="false"/>
                <w:color w:val="000000"/>
                <w:sz w:val="18"/>
                <w:szCs w:val="18"/>
              </w:rPr>
              <w:t xml:space="preserve">“0–8”</w:t>
            </w:r>
          </w:p>
        </w:tc>
        <w:tc>
          <w:tcPr>
            <w:tcW w:type="dxa" w:w="3791"/>
            <w:shd w:fill="F4F6F8" w:val="clear"/>
            <w:tcMar>
              <w:top w:type="dxa" w:w="70"/>
              <w:left w:type="dxa" w:w="90"/>
              <w:bottom w:type="dxa" w:w="70"/>
              <w:right w:type="dxa" w:w="90"/>
            </w:tcMar>
            <w:vAlign w:val="center"/>
          </w:tcPr>
          <w:p>
            <w:pPr>
              <w:jc w:val="left"/>
            </w:pPr>
            <w:r>
              <w:rPr>
                <w:b w:val="false"/>
                <w:bCs w:val="false"/>
                <w:color w:val="000000"/>
                <w:sz w:val="18"/>
                <w:szCs w:val="18"/>
              </w:rPr>
              <w:t xml:space="preserve">0.0–4.0 (values are 0, 1 or 4 only)</w:t>
            </w:r>
          </w:p>
        </w:tc>
      </w:tr>
      <w:tr>
        <w:tc>
          <w:tcPr>
            <w:tcW w:type="dxa" w:w="2527"/>
            <w:tcMar>
              <w:top w:type="dxa" w:w="70"/>
              <w:left w:type="dxa" w:w="90"/>
              <w:bottom w:type="dxa" w:w="70"/>
              <w:right w:type="dxa" w:w="90"/>
            </w:tcMar>
            <w:vAlign w:val="center"/>
          </w:tcPr>
          <w:p>
            <w:pPr>
              <w:jc w:val="left"/>
            </w:pPr>
            <w:r>
              <w:rPr>
                <w:b w:val="false"/>
                <w:bCs w:val="false"/>
                <w:color w:val="000000"/>
                <w:sz w:val="18"/>
                <w:szCs w:val="18"/>
              </w:rPr>
              <w:t xml:space="preserve">P3: σV range</w:t>
            </w:r>
          </w:p>
        </w:tc>
        <w:tc>
          <w:tcPr>
            <w:tcW w:type="dxa" w:w="2708"/>
            <w:tcMar>
              <w:top w:type="dxa" w:w="70"/>
              <w:left w:type="dxa" w:w="90"/>
              <w:bottom w:type="dxa" w:w="70"/>
              <w:right w:type="dxa" w:w="90"/>
            </w:tcMar>
            <w:vAlign w:val="center"/>
          </w:tcPr>
          <w:p>
            <w:pPr>
              <w:jc w:val="left"/>
            </w:pPr>
            <w:r>
              <w:rPr>
                <w:b w:val="false"/>
                <w:bCs w:val="false"/>
                <w:color w:val="000000"/>
                <w:sz w:val="18"/>
                <w:szCs w:val="18"/>
              </w:rPr>
              <w:t xml:space="preserve">0.66–4.12</w:t>
            </w:r>
          </w:p>
        </w:tc>
        <w:tc>
          <w:tcPr>
            <w:tcW w:type="dxa" w:w="3791"/>
            <w:tcMar>
              <w:top w:type="dxa" w:w="70"/>
              <w:left w:type="dxa" w:w="90"/>
              <w:bottom w:type="dxa" w:w="70"/>
              <w:right w:type="dxa" w:w="90"/>
            </w:tcMar>
            <w:vAlign w:val="center"/>
          </w:tcPr>
          <w:p>
            <w:pPr>
              <w:jc w:val="left"/>
            </w:pPr>
            <w:r>
              <w:rPr>
                <w:b w:val="false"/>
                <w:bCs w:val="false"/>
                <w:color w:val="000000"/>
                <w:sz w:val="18"/>
                <w:szCs w:val="18"/>
              </w:rPr>
              <w:t xml:space="preserve">0.66–4.12</w:t>
            </w:r>
          </w:p>
        </w:tc>
      </w:tr>
    </w:tbl>
    <w:p>
      <w:pPr>
        <w:spacing w:after="300" w:before="80"/>
        <w:jc w:val="center"/>
      </w:pPr>
      <w:r>
        <w:rPr>
          <w:i/>
          <w:iCs/>
          <w:color w:val="555555"/>
          <w:sz w:val="18"/>
          <w:szCs w:val="18"/>
        </w:rPr>
        <w:t xml:space="preserve">Table 3 — P2's stated range does not match the data. Denmark's “Invalid” verdict stands on P1 alone.</w:t>
      </w:r>
    </w:p>
    <w:p>
      <w:pPr>
        <w:spacing w:after="160" w:line="276"/>
      </w:pPr>
      <w:r>
        <w:rPr>
          <w:b w:val="false"/>
          <w:bCs w:val="false"/>
          <w:i w:val="false"/>
          <w:iCs w:val="false"/>
          <w:sz w:val="22"/>
          <w:szCs w:val="22"/>
        </w:rPr>
        <w:t xml:space="preserve">On the proposed alternative ηalt = (BSLore × BSArchive × CHands)/σV: the ratio ηalt/ηsoil equals max(SHands, 2) exactly, so the multiplier is exactly 2 for 112 of 114 observations and exactly 4 for the remaining two. ηalt is therefore a two-valued rescaling of ηsoil and cannot generate any within-subgroup ordering the original lacks. It cannot independently validate “soil-bond” and should not be presented as a test.</w:t>
      </w:r>
    </w:p>
    <w:p>
      <w:pPr>
        <w:pStyle w:val="Heading2"/>
        <w:spacing w:after="120" w:before="280"/>
      </w:pPr>
      <w:r>
        <w:t xml:space="preserve">3.2 Data completeness — not checked in v1</w:t>
      </w:r>
    </w:p>
    <w:p>
      <w:pPr>
        <w:spacing w:after="160" w:line="276"/>
      </w:pPr>
      <w:r>
        <w:rPr>
          <w:b w:val="false"/>
          <w:bCs w:val="false"/>
          <w:i w:val="false"/>
          <w:iCs w:val="false"/>
          <w:sz w:val="22"/>
          <w:szCs w:val="22"/>
        </w:rPr>
        <w:t xml:space="preserve">The Germany file supplied for this paper contains 86 of the 127 years in its stated 1900–2026 range. The 41 missing years form a single contiguous block, 1949–1989 — the entire division period, Federal Republic and GDR both, from the founding of the two states to the year before reunification. The omission is undisclosed in the paper.</w:t>
      </w:r>
    </w:p>
    <w:p>
      <w:pPr>
        <w:spacing w:after="160" w:line="276"/>
      </w:pPr>
      <w:r>
        <w:rPr>
          <w:b w:val="false"/>
          <w:bCs w:val="false"/>
          <w:i w:val="false"/>
          <w:iCs w:val="false"/>
          <w:sz w:val="22"/>
          <w:szCs w:val="22"/>
        </w:rPr>
        <w:t xml:space="preserve">Version 1 recorded “n=86 now matches exactly” and treated agreement with the paper's stated n as confirmation. It was the opposite: 1900–2026 spans 127 years, so n=86 was itself the signal, and the arithmetic needed to see it is subtraction. The public repository file of the same name is 1017 lines (1016 rows = 127 years × 8 nodes), consistent with complete coverage.</w:t>
      </w:r>
    </w:p>
    <w:p>
      <w:pPr>
        <w:spacing w:after="160" w:line="276"/>
      </w:pPr>
      <w:r>
        <w:rPr>
          <w:b w:val="false"/>
          <w:bCs w:val="false"/>
          <w:i w:val="false"/>
          <w:iCs w:val="false"/>
          <w:sz w:val="22"/>
          <w:szCs w:val="22"/>
        </w:rPr>
        <w:t xml:space="preserve">Consequence: Germany's crisis-discrimination result reportedly survives on the complete file and strengthens, but the reported baseline mean ηsoil (0.057), the series peak, and the trajectory description are all computed on a series missing its entire post-war half. Those claims require recomputation, not adjustment. Australia separately omits 1930; the public source has only seven nodes for that year, so exclusion is defensible but must be disclosed.</w:t>
      </w:r>
    </w:p>
    <w:p>
      <w:pPr>
        <w:pStyle w:val="Heading2"/>
        <w:spacing w:after="120" w:before="280"/>
      </w:pPr>
      <w:r>
        <w:t xml:space="preserve">3.3 Crisis discrimination — test-statistic identification</w:t>
      </w:r>
    </w:p>
    <w:p>
      <w:pPr>
        <w:spacing w:after="160" w:line="276"/>
      </w:pPr>
      <w:r>
        <w:rPr>
          <w:b w:val="false"/>
          <w:bCs w:val="false"/>
          <w:i w:val="false"/>
          <w:iCs w:val="false"/>
          <w:sz w:val="22"/>
          <w:szCs w:val="22"/>
        </w:rPr>
        <w:t xml:space="preserve">The reported ηsoil t-statistics correspond to neither Student's nor Welch's test on the named files:</w:t>
      </w:r>
    </w:p>
    <w:tbl>
      <w:tblPr>
        <w:tblW w:type="dxa" w:w="9026"/>
        <w:tblBorders>
          <w:top w:val="single" w:color="999999" w:sz="4"/>
          <w:left w:val="single" w:color="999999" w:sz="4"/>
          <w:bottom w:val="single" w:color="999999" w:sz="4"/>
          <w:right w:val="single" w:color="999999" w:sz="4"/>
          <w:insideH w:val="single" w:color="CCCCCC" w:sz="2"/>
          <w:insideV w:val="single" w:color="CCCCCC" w:sz="2"/>
        </w:tblBorders>
      </w:tblPr>
      <w:tblGrid>
        <w:gridCol w:w="1444"/>
        <w:gridCol w:w="1625"/>
        <w:gridCol w:w="1264"/>
        <w:gridCol w:w="1264"/>
        <w:gridCol w:w="1264"/>
        <w:gridCol w:w="2166"/>
      </w:tblGrid>
      <w:tr>
        <w:trPr>
          <w:tblHeader/>
        </w:trPr>
        <w:tc>
          <w:tcPr>
            <w:tcW w:type="dxa" w:w="1444"/>
            <w:shd w:fill="2F3E4E" w:val="clear"/>
            <w:tcMar>
              <w:top w:type="dxa" w:w="70"/>
              <w:left w:type="dxa" w:w="90"/>
              <w:bottom w:type="dxa" w:w="70"/>
              <w:right w:type="dxa" w:w="90"/>
            </w:tcMar>
            <w:vAlign w:val="center"/>
          </w:tcPr>
          <w:p>
            <w:pPr>
              <w:jc w:val="center"/>
            </w:pPr>
            <w:r>
              <w:rPr>
                <w:b/>
                <w:bCs/>
                <w:color w:val="FFFFFF"/>
                <w:sz w:val="18"/>
                <w:szCs w:val="18"/>
              </w:rPr>
              <w:t xml:space="preserve">Society</w:t>
            </w:r>
          </w:p>
        </w:tc>
        <w:tc>
          <w:tcPr>
            <w:tcW w:type="dxa" w:w="1625"/>
            <w:shd w:fill="2F3E4E" w:val="clear"/>
            <w:tcMar>
              <w:top w:type="dxa" w:w="70"/>
              <w:left w:type="dxa" w:w="90"/>
              <w:bottom w:type="dxa" w:w="70"/>
              <w:right w:type="dxa" w:w="90"/>
            </w:tcMar>
            <w:vAlign w:val="center"/>
          </w:tcPr>
          <w:p>
            <w:pPr>
              <w:jc w:val="center"/>
            </w:pPr>
            <w:r>
              <w:rPr>
                <w:b/>
                <w:bCs/>
                <w:color w:val="FFFFFF"/>
                <w:sz w:val="18"/>
                <w:szCs w:val="18"/>
              </w:rPr>
              <w:t xml:space="preserve">n stable / crisis</w:t>
            </w:r>
          </w:p>
        </w:tc>
        <w:tc>
          <w:tcPr>
            <w:tcW w:type="dxa" w:w="1264"/>
            <w:shd w:fill="2F3E4E" w:val="clear"/>
            <w:tcMar>
              <w:top w:type="dxa" w:w="70"/>
              <w:left w:type="dxa" w:w="90"/>
              <w:bottom w:type="dxa" w:w="70"/>
              <w:right w:type="dxa" w:w="90"/>
            </w:tcMar>
            <w:vAlign w:val="center"/>
          </w:tcPr>
          <w:p>
            <w:pPr>
              <w:jc w:val="center"/>
            </w:pPr>
            <w:r>
              <w:rPr>
                <w:b/>
                <w:bCs/>
                <w:color w:val="FFFFFF"/>
                <w:sz w:val="18"/>
                <w:szCs w:val="18"/>
              </w:rPr>
              <w:t xml:space="preserve">Student t</w:t>
            </w:r>
          </w:p>
        </w:tc>
        <w:tc>
          <w:tcPr>
            <w:tcW w:type="dxa" w:w="1264"/>
            <w:shd w:fill="2F3E4E" w:val="clear"/>
            <w:tcMar>
              <w:top w:type="dxa" w:w="70"/>
              <w:left w:type="dxa" w:w="90"/>
              <w:bottom w:type="dxa" w:w="70"/>
              <w:right w:type="dxa" w:w="90"/>
            </w:tcMar>
            <w:vAlign w:val="center"/>
          </w:tcPr>
          <w:p>
            <w:pPr>
              <w:jc w:val="center"/>
            </w:pPr>
            <w:r>
              <w:rPr>
                <w:b/>
                <w:bCs/>
                <w:color w:val="FFFFFF"/>
                <w:sz w:val="18"/>
                <w:szCs w:val="18"/>
              </w:rPr>
              <w:t xml:space="preserve">Welch t</w:t>
            </w:r>
          </w:p>
        </w:tc>
        <w:tc>
          <w:tcPr>
            <w:tcW w:type="dxa" w:w="1264"/>
            <w:shd w:fill="2F3E4E" w:val="clear"/>
            <w:tcMar>
              <w:top w:type="dxa" w:w="70"/>
              <w:left w:type="dxa" w:w="90"/>
              <w:bottom w:type="dxa" w:w="70"/>
              <w:right w:type="dxa" w:w="90"/>
            </w:tcMar>
            <w:vAlign w:val="center"/>
          </w:tcPr>
          <w:p>
            <w:pPr>
              <w:jc w:val="center"/>
            </w:pPr>
            <w:r>
              <w:rPr>
                <w:b/>
                <w:bCs/>
                <w:color w:val="FFFFFF"/>
                <w:sz w:val="18"/>
                <w:szCs w:val="18"/>
              </w:rPr>
              <w:t xml:space="preserve">Paper t</w:t>
            </w:r>
          </w:p>
        </w:tc>
        <w:tc>
          <w:tcPr>
            <w:tcW w:type="dxa" w:w="2166"/>
            <w:shd w:fill="2F3E4E" w:val="clear"/>
            <w:tcMar>
              <w:top w:type="dxa" w:w="70"/>
              <w:left w:type="dxa" w:w="90"/>
              <w:bottom w:type="dxa" w:w="70"/>
              <w:right w:type="dxa" w:w="90"/>
            </w:tcMar>
            <w:vAlign w:val="center"/>
          </w:tcPr>
          <w:p>
            <w:pPr>
              <w:jc w:val="center"/>
            </w:pPr>
            <w:r>
              <w:rPr>
                <w:b/>
                <w:bCs/>
                <w:color w:val="FFFFFF"/>
                <w:sz w:val="18"/>
                <w:szCs w:val="18"/>
              </w:rPr>
              <w:t xml:space="preserve">Match?</w:t>
            </w:r>
          </w:p>
        </w:tc>
      </w:tr>
      <w:tr>
        <w:tc>
          <w:tcPr>
            <w:tcW w:type="dxa" w:w="1444"/>
            <w:tcMar>
              <w:top w:type="dxa" w:w="70"/>
              <w:left w:type="dxa" w:w="90"/>
              <w:bottom w:type="dxa" w:w="70"/>
              <w:right w:type="dxa" w:w="90"/>
            </w:tcMar>
            <w:vAlign w:val="center"/>
          </w:tcPr>
          <w:p>
            <w:pPr>
              <w:jc w:val="left"/>
            </w:pPr>
            <w:r>
              <w:rPr>
                <w:b w:val="false"/>
                <w:bCs w:val="false"/>
                <w:color w:val="000000"/>
                <w:sz w:val="18"/>
                <w:szCs w:val="18"/>
              </w:rPr>
              <w:t xml:space="preserve">Australia</w:t>
            </w:r>
          </w:p>
        </w:tc>
        <w:tc>
          <w:tcPr>
            <w:tcW w:type="dxa" w:w="1625"/>
            <w:tcMar>
              <w:top w:type="dxa" w:w="70"/>
              <w:left w:type="dxa" w:w="90"/>
              <w:bottom w:type="dxa" w:w="70"/>
              <w:right w:type="dxa" w:w="90"/>
            </w:tcMar>
            <w:vAlign w:val="center"/>
          </w:tcPr>
          <w:p>
            <w:pPr>
              <w:jc w:val="left"/>
            </w:pPr>
            <w:r>
              <w:rPr>
                <w:b w:val="false"/>
                <w:bCs w:val="false"/>
                <w:color w:val="000000"/>
                <w:sz w:val="18"/>
                <w:szCs w:val="18"/>
              </w:rPr>
              <w:t xml:space="preserve">113 / 18</w:t>
            </w:r>
          </w:p>
        </w:tc>
        <w:tc>
          <w:tcPr>
            <w:tcW w:type="dxa" w:w="1264"/>
            <w:tcMar>
              <w:top w:type="dxa" w:w="70"/>
              <w:left w:type="dxa" w:w="90"/>
              <w:bottom w:type="dxa" w:w="70"/>
              <w:right w:type="dxa" w:w="90"/>
            </w:tcMar>
            <w:vAlign w:val="center"/>
          </w:tcPr>
          <w:p>
            <w:pPr>
              <w:jc w:val="left"/>
            </w:pPr>
            <w:r>
              <w:rPr>
                <w:b w:val="false"/>
                <w:bCs w:val="false"/>
                <w:color w:val="000000"/>
                <w:sz w:val="18"/>
                <w:szCs w:val="18"/>
              </w:rPr>
              <w:t xml:space="preserve">3.64</w:t>
            </w:r>
          </w:p>
        </w:tc>
        <w:tc>
          <w:tcPr>
            <w:tcW w:type="dxa" w:w="1264"/>
            <w:tcMar>
              <w:top w:type="dxa" w:w="70"/>
              <w:left w:type="dxa" w:w="90"/>
              <w:bottom w:type="dxa" w:w="70"/>
              <w:right w:type="dxa" w:w="90"/>
            </w:tcMar>
            <w:vAlign w:val="center"/>
          </w:tcPr>
          <w:p>
            <w:pPr>
              <w:jc w:val="left"/>
            </w:pPr>
            <w:r>
              <w:rPr>
                <w:b w:val="false"/>
                <w:bCs w:val="false"/>
                <w:color w:val="000000"/>
                <w:sz w:val="18"/>
                <w:szCs w:val="18"/>
              </w:rPr>
              <w:t xml:space="preserve">7.25</w:t>
            </w:r>
          </w:p>
        </w:tc>
        <w:tc>
          <w:tcPr>
            <w:tcW w:type="dxa" w:w="1264"/>
            <w:tcMar>
              <w:top w:type="dxa" w:w="70"/>
              <w:left w:type="dxa" w:w="90"/>
              <w:bottom w:type="dxa" w:w="70"/>
              <w:right w:type="dxa" w:w="90"/>
            </w:tcMar>
            <w:vAlign w:val="center"/>
          </w:tcPr>
          <w:p>
            <w:pPr>
              <w:jc w:val="left"/>
            </w:pPr>
            <w:r>
              <w:rPr>
                <w:b w:val="false"/>
                <w:bCs w:val="false"/>
                <w:color w:val="000000"/>
                <w:sz w:val="18"/>
                <w:szCs w:val="18"/>
              </w:rPr>
              <w:t xml:space="preserve">4.12</w:t>
            </w:r>
          </w:p>
        </w:tc>
        <w:tc>
          <w:tcPr>
            <w:tcW w:type="dxa" w:w="2166"/>
            <w:tcMar>
              <w:top w:type="dxa" w:w="70"/>
              <w:left w:type="dxa" w:w="90"/>
              <w:bottom w:type="dxa" w:w="70"/>
              <w:right w:type="dxa" w:w="90"/>
            </w:tcMar>
            <w:vAlign w:val="center"/>
          </w:tcPr>
          <w:p>
            <w:pPr>
              <w:jc w:val="left"/>
            </w:pPr>
            <w:r>
              <w:rPr>
                <w:b w:val="false"/>
                <w:bCs w:val="false"/>
                <w:color w:val="000000"/>
                <w:sz w:val="18"/>
                <w:szCs w:val="18"/>
              </w:rPr>
              <w:t xml:space="preserve">neither</w:t>
            </w:r>
          </w:p>
        </w:tc>
      </w:tr>
      <w:tr>
        <w:tc>
          <w:tcPr>
            <w:tcW w:type="dxa" w:w="1444"/>
            <w:shd w:fill="F4F6F8" w:val="clear"/>
            <w:tcMar>
              <w:top w:type="dxa" w:w="70"/>
              <w:left w:type="dxa" w:w="90"/>
              <w:bottom w:type="dxa" w:w="70"/>
              <w:right w:type="dxa" w:w="90"/>
            </w:tcMar>
            <w:vAlign w:val="center"/>
          </w:tcPr>
          <w:p>
            <w:pPr>
              <w:jc w:val="left"/>
            </w:pPr>
            <w:r>
              <w:rPr>
                <w:b w:val="false"/>
                <w:bCs w:val="false"/>
                <w:color w:val="000000"/>
                <w:sz w:val="18"/>
                <w:szCs w:val="18"/>
              </w:rPr>
              <w:t xml:space="preserve">China</w:t>
            </w:r>
          </w:p>
        </w:tc>
        <w:tc>
          <w:tcPr>
            <w:tcW w:type="dxa" w:w="1625"/>
            <w:shd w:fill="F4F6F8" w:val="clear"/>
            <w:tcMar>
              <w:top w:type="dxa" w:w="70"/>
              <w:left w:type="dxa" w:w="90"/>
              <w:bottom w:type="dxa" w:w="70"/>
              <w:right w:type="dxa" w:w="90"/>
            </w:tcMar>
            <w:vAlign w:val="center"/>
          </w:tcPr>
          <w:p>
            <w:pPr>
              <w:jc w:val="left"/>
            </w:pPr>
            <w:r>
              <w:rPr>
                <w:b w:val="false"/>
                <w:bCs w:val="false"/>
                <w:color w:val="000000"/>
                <w:sz w:val="18"/>
                <w:szCs w:val="18"/>
              </w:rPr>
              <w:t xml:space="preserve">95 / 32</w:t>
            </w:r>
          </w:p>
        </w:tc>
        <w:tc>
          <w:tcPr>
            <w:tcW w:type="dxa" w:w="1264"/>
            <w:shd w:fill="F4F6F8" w:val="clear"/>
            <w:tcMar>
              <w:top w:type="dxa" w:w="70"/>
              <w:left w:type="dxa" w:w="90"/>
              <w:bottom w:type="dxa" w:w="70"/>
              <w:right w:type="dxa" w:w="90"/>
            </w:tcMar>
            <w:vAlign w:val="center"/>
          </w:tcPr>
          <w:p>
            <w:pPr>
              <w:jc w:val="left"/>
            </w:pPr>
            <w:r>
              <w:rPr>
                <w:b w:val="false"/>
                <w:bCs w:val="false"/>
                <w:color w:val="000000"/>
                <w:sz w:val="18"/>
                <w:szCs w:val="18"/>
              </w:rPr>
              <w:t xml:space="preserve">3.71</w:t>
            </w:r>
          </w:p>
        </w:tc>
        <w:tc>
          <w:tcPr>
            <w:tcW w:type="dxa" w:w="1264"/>
            <w:shd w:fill="F4F6F8" w:val="clear"/>
            <w:tcMar>
              <w:top w:type="dxa" w:w="70"/>
              <w:left w:type="dxa" w:w="90"/>
              <w:bottom w:type="dxa" w:w="70"/>
              <w:right w:type="dxa" w:w="90"/>
            </w:tcMar>
            <w:vAlign w:val="center"/>
          </w:tcPr>
          <w:p>
            <w:pPr>
              <w:jc w:val="left"/>
            </w:pPr>
            <w:r>
              <w:rPr>
                <w:b w:val="false"/>
                <w:bCs w:val="false"/>
                <w:color w:val="000000"/>
                <w:sz w:val="18"/>
                <w:szCs w:val="18"/>
              </w:rPr>
              <w:t xml:space="preserve">6.40</w:t>
            </w:r>
          </w:p>
        </w:tc>
        <w:tc>
          <w:tcPr>
            <w:tcW w:type="dxa" w:w="1264"/>
            <w:shd w:fill="F4F6F8" w:val="clear"/>
            <w:tcMar>
              <w:top w:type="dxa" w:w="70"/>
              <w:left w:type="dxa" w:w="90"/>
              <w:bottom w:type="dxa" w:w="70"/>
              <w:right w:type="dxa" w:w="90"/>
            </w:tcMar>
            <w:vAlign w:val="center"/>
          </w:tcPr>
          <w:p>
            <w:pPr>
              <w:jc w:val="left"/>
            </w:pPr>
            <w:r>
              <w:rPr>
                <w:b w:val="false"/>
                <w:bCs w:val="false"/>
                <w:color w:val="000000"/>
                <w:sz w:val="18"/>
                <w:szCs w:val="18"/>
              </w:rPr>
              <w:t xml:space="preserve">5.79</w:t>
            </w:r>
          </w:p>
        </w:tc>
        <w:tc>
          <w:tcPr>
            <w:tcW w:type="dxa" w:w="2166"/>
            <w:shd w:fill="F4F6F8" w:val="clear"/>
            <w:tcMar>
              <w:top w:type="dxa" w:w="70"/>
              <w:left w:type="dxa" w:w="90"/>
              <w:bottom w:type="dxa" w:w="70"/>
              <w:right w:type="dxa" w:w="90"/>
            </w:tcMar>
            <w:vAlign w:val="center"/>
          </w:tcPr>
          <w:p>
            <w:pPr>
              <w:jc w:val="left"/>
            </w:pPr>
            <w:r>
              <w:rPr>
                <w:b w:val="false"/>
                <w:bCs w:val="false"/>
                <w:color w:val="000000"/>
                <w:sz w:val="18"/>
                <w:szCs w:val="18"/>
              </w:rPr>
              <w:t xml:space="preserve">neither</w:t>
            </w:r>
          </w:p>
        </w:tc>
      </w:tr>
      <w:tr>
        <w:tc>
          <w:tcPr>
            <w:tcW w:type="dxa" w:w="1444"/>
            <w:tcMar>
              <w:top w:type="dxa" w:w="70"/>
              <w:left w:type="dxa" w:w="90"/>
              <w:bottom w:type="dxa" w:w="70"/>
              <w:right w:type="dxa" w:w="90"/>
            </w:tcMar>
            <w:vAlign w:val="center"/>
          </w:tcPr>
          <w:p>
            <w:pPr>
              <w:jc w:val="left"/>
            </w:pPr>
            <w:r>
              <w:rPr>
                <w:b w:val="false"/>
                <w:bCs w:val="false"/>
                <w:color w:val="000000"/>
                <w:sz w:val="18"/>
                <w:szCs w:val="18"/>
              </w:rPr>
              <w:t xml:space="preserve">Germany</w:t>
            </w:r>
          </w:p>
        </w:tc>
        <w:tc>
          <w:tcPr>
            <w:tcW w:type="dxa" w:w="1625"/>
            <w:tcMar>
              <w:top w:type="dxa" w:w="70"/>
              <w:left w:type="dxa" w:w="90"/>
              <w:bottom w:type="dxa" w:w="70"/>
              <w:right w:type="dxa" w:w="90"/>
            </w:tcMar>
            <w:vAlign w:val="center"/>
          </w:tcPr>
          <w:p>
            <w:pPr>
              <w:jc w:val="left"/>
            </w:pPr>
            <w:r>
              <w:rPr>
                <w:b w:val="false"/>
                <w:bCs w:val="false"/>
                <w:color w:val="000000"/>
                <w:sz w:val="18"/>
                <w:szCs w:val="18"/>
              </w:rPr>
              <w:t xml:space="preserve">54 / 32</w:t>
            </w:r>
          </w:p>
        </w:tc>
        <w:tc>
          <w:tcPr>
            <w:tcW w:type="dxa" w:w="1264"/>
            <w:tcMar>
              <w:top w:type="dxa" w:w="70"/>
              <w:left w:type="dxa" w:w="90"/>
              <w:bottom w:type="dxa" w:w="70"/>
              <w:right w:type="dxa" w:w="90"/>
            </w:tcMar>
            <w:vAlign w:val="center"/>
          </w:tcPr>
          <w:p>
            <w:pPr>
              <w:jc w:val="left"/>
            </w:pPr>
            <w:r>
              <w:rPr>
                <w:b w:val="false"/>
                <w:bCs w:val="false"/>
                <w:color w:val="000000"/>
                <w:sz w:val="18"/>
                <w:szCs w:val="18"/>
              </w:rPr>
              <w:t xml:space="preserve">7.39</w:t>
            </w:r>
          </w:p>
        </w:tc>
        <w:tc>
          <w:tcPr>
            <w:tcW w:type="dxa" w:w="1264"/>
            <w:tcMar>
              <w:top w:type="dxa" w:w="70"/>
              <w:left w:type="dxa" w:w="90"/>
              <w:bottom w:type="dxa" w:w="70"/>
              <w:right w:type="dxa" w:w="90"/>
            </w:tcMar>
            <w:vAlign w:val="center"/>
          </w:tcPr>
          <w:p>
            <w:pPr>
              <w:jc w:val="left"/>
            </w:pPr>
            <w:r>
              <w:rPr>
                <w:b w:val="false"/>
                <w:bCs w:val="false"/>
                <w:color w:val="000000"/>
                <w:sz w:val="18"/>
                <w:szCs w:val="18"/>
              </w:rPr>
              <w:t xml:space="preserve">9.38</w:t>
            </w:r>
          </w:p>
        </w:tc>
        <w:tc>
          <w:tcPr>
            <w:tcW w:type="dxa" w:w="1264"/>
            <w:tcMar>
              <w:top w:type="dxa" w:w="70"/>
              <w:left w:type="dxa" w:w="90"/>
              <w:bottom w:type="dxa" w:w="70"/>
              <w:right w:type="dxa" w:w="90"/>
            </w:tcMar>
            <w:vAlign w:val="center"/>
          </w:tcPr>
          <w:p>
            <w:pPr>
              <w:jc w:val="left"/>
            </w:pPr>
            <w:r>
              <w:rPr>
                <w:b w:val="false"/>
                <w:bCs w:val="false"/>
                <w:color w:val="000000"/>
                <w:sz w:val="18"/>
                <w:szCs w:val="18"/>
              </w:rPr>
              <w:t xml:space="preserve">10.35</w:t>
            </w:r>
          </w:p>
        </w:tc>
        <w:tc>
          <w:tcPr>
            <w:tcW w:type="dxa" w:w="2166"/>
            <w:tcMar>
              <w:top w:type="dxa" w:w="70"/>
              <w:left w:type="dxa" w:w="90"/>
              <w:bottom w:type="dxa" w:w="70"/>
              <w:right w:type="dxa" w:w="90"/>
            </w:tcMar>
            <w:vAlign w:val="center"/>
          </w:tcPr>
          <w:p>
            <w:pPr>
              <w:jc w:val="left"/>
            </w:pPr>
            <w:r>
              <w:rPr>
                <w:b w:val="false"/>
                <w:bCs w:val="false"/>
                <w:color w:val="000000"/>
                <w:sz w:val="18"/>
                <w:szCs w:val="18"/>
              </w:rPr>
              <w:t xml:space="preserve">neither</w:t>
            </w:r>
          </w:p>
        </w:tc>
      </w:tr>
      <w:tr>
        <w:tc>
          <w:tcPr>
            <w:tcW w:type="dxa" w:w="1444"/>
            <w:shd w:fill="F4F6F8" w:val="clear"/>
            <w:tcMar>
              <w:top w:type="dxa" w:w="70"/>
              <w:left w:type="dxa" w:w="90"/>
              <w:bottom w:type="dxa" w:w="70"/>
              <w:right w:type="dxa" w:w="90"/>
            </w:tcMar>
            <w:vAlign w:val="center"/>
          </w:tcPr>
          <w:p>
            <w:pPr>
              <w:jc w:val="left"/>
            </w:pPr>
            <w:r>
              <w:rPr>
                <w:b w:val="false"/>
                <w:bCs w:val="false"/>
                <w:color w:val="000000"/>
                <w:sz w:val="18"/>
                <w:szCs w:val="18"/>
              </w:rPr>
              <w:t xml:space="preserve">USA</w:t>
            </w:r>
          </w:p>
        </w:tc>
        <w:tc>
          <w:tcPr>
            <w:tcW w:type="dxa" w:w="1625"/>
            <w:shd w:fill="F4F6F8" w:val="clear"/>
            <w:tcMar>
              <w:top w:type="dxa" w:w="70"/>
              <w:left w:type="dxa" w:w="90"/>
              <w:bottom w:type="dxa" w:w="70"/>
              <w:right w:type="dxa" w:w="90"/>
            </w:tcMar>
            <w:vAlign w:val="center"/>
          </w:tcPr>
          <w:p>
            <w:pPr>
              <w:jc w:val="left"/>
            </w:pPr>
            <w:r>
              <w:rPr>
                <w:b w:val="false"/>
                <w:bCs w:val="false"/>
                <w:color w:val="000000"/>
                <w:sz w:val="18"/>
                <w:szCs w:val="18"/>
              </w:rPr>
              <w:t xml:space="preserve">28 / 3</w:t>
            </w:r>
          </w:p>
        </w:tc>
        <w:tc>
          <w:tcPr>
            <w:tcW w:type="dxa" w:w="1264"/>
            <w:shd w:fill="F4F6F8" w:val="clear"/>
            <w:tcMar>
              <w:top w:type="dxa" w:w="70"/>
              <w:left w:type="dxa" w:w="90"/>
              <w:bottom w:type="dxa" w:w="70"/>
              <w:right w:type="dxa" w:w="90"/>
            </w:tcMar>
            <w:vAlign w:val="center"/>
          </w:tcPr>
          <w:p>
            <w:pPr>
              <w:jc w:val="left"/>
            </w:pPr>
            <w:r>
              <w:rPr>
                <w:b w:val="false"/>
                <w:bCs w:val="false"/>
                <w:color w:val="000000"/>
                <w:sz w:val="18"/>
                <w:szCs w:val="18"/>
              </w:rPr>
              <w:t xml:space="preserve">0.87</w:t>
            </w:r>
          </w:p>
        </w:tc>
        <w:tc>
          <w:tcPr>
            <w:tcW w:type="dxa" w:w="1264"/>
            <w:shd w:fill="F4F6F8" w:val="clear"/>
            <w:tcMar>
              <w:top w:type="dxa" w:w="70"/>
              <w:left w:type="dxa" w:w="90"/>
              <w:bottom w:type="dxa" w:w="70"/>
              <w:right w:type="dxa" w:w="90"/>
            </w:tcMar>
            <w:vAlign w:val="center"/>
          </w:tcPr>
          <w:p>
            <w:pPr>
              <w:jc w:val="left"/>
            </w:pPr>
            <w:r>
              <w:rPr>
                <w:b w:val="false"/>
                <w:bCs w:val="false"/>
                <w:color w:val="000000"/>
                <w:sz w:val="18"/>
                <w:szCs w:val="18"/>
              </w:rPr>
              <w:t xml:space="preserve">1.75</w:t>
            </w:r>
          </w:p>
        </w:tc>
        <w:tc>
          <w:tcPr>
            <w:tcW w:type="dxa" w:w="1264"/>
            <w:shd w:fill="F4F6F8" w:val="clear"/>
            <w:tcMar>
              <w:top w:type="dxa" w:w="70"/>
              <w:left w:type="dxa" w:w="90"/>
              <w:bottom w:type="dxa" w:w="70"/>
              <w:right w:type="dxa" w:w="90"/>
            </w:tcMar>
            <w:vAlign w:val="center"/>
          </w:tcPr>
          <w:p>
            <w:pPr>
              <w:jc w:val="left"/>
            </w:pPr>
            <w:r>
              <w:rPr>
                <w:b w:val="false"/>
                <w:bCs w:val="false"/>
                <w:color w:val="000000"/>
                <w:sz w:val="18"/>
                <w:szCs w:val="18"/>
              </w:rPr>
              <w:t xml:space="preserve">1.06</w:t>
            </w:r>
          </w:p>
        </w:tc>
        <w:tc>
          <w:tcPr>
            <w:tcW w:type="dxa" w:w="2166"/>
            <w:shd w:fill="F4F6F8" w:val="clear"/>
            <w:tcMar>
              <w:top w:type="dxa" w:w="70"/>
              <w:left w:type="dxa" w:w="90"/>
              <w:bottom w:type="dxa" w:w="70"/>
              <w:right w:type="dxa" w:w="90"/>
            </w:tcMar>
            <w:vAlign w:val="center"/>
          </w:tcPr>
          <w:p>
            <w:pPr>
              <w:jc w:val="left"/>
            </w:pPr>
            <w:r>
              <w:rPr>
                <w:b w:val="false"/>
                <w:bCs w:val="false"/>
                <w:color w:val="000000"/>
                <w:sz w:val="18"/>
                <w:szCs w:val="18"/>
              </w:rPr>
              <w:t xml:space="preserve">neither</w:t>
            </w:r>
          </w:p>
        </w:tc>
      </w:tr>
      <w:tr>
        <w:tc>
          <w:tcPr>
            <w:tcW w:type="dxa" w:w="1444"/>
            <w:tcMar>
              <w:top w:type="dxa" w:w="70"/>
              <w:left w:type="dxa" w:w="90"/>
              <w:bottom w:type="dxa" w:w="70"/>
              <w:right w:type="dxa" w:w="90"/>
            </w:tcMar>
            <w:vAlign w:val="center"/>
          </w:tcPr>
          <w:p>
            <w:pPr>
              <w:jc w:val="left"/>
            </w:pPr>
            <w:r>
              <w:rPr>
                <w:b w:val="false"/>
                <w:bCs w:val="false"/>
                <w:color w:val="000000"/>
                <w:sz w:val="18"/>
                <w:szCs w:val="18"/>
              </w:rPr>
              <w:t xml:space="preserve">Iran</w:t>
            </w:r>
          </w:p>
        </w:tc>
        <w:tc>
          <w:tcPr>
            <w:tcW w:type="dxa" w:w="1625"/>
            <w:tcMar>
              <w:top w:type="dxa" w:w="70"/>
              <w:left w:type="dxa" w:w="90"/>
              <w:bottom w:type="dxa" w:w="70"/>
              <w:right w:type="dxa" w:w="90"/>
            </w:tcMar>
            <w:vAlign w:val="center"/>
          </w:tcPr>
          <w:p>
            <w:pPr>
              <w:jc w:val="left"/>
            </w:pPr>
            <w:r>
              <w:rPr>
                <w:b w:val="false"/>
                <w:bCs w:val="false"/>
                <w:color w:val="000000"/>
                <w:sz w:val="18"/>
                <w:szCs w:val="18"/>
              </w:rPr>
              <w:t xml:space="preserve">119 / 33</w:t>
            </w:r>
          </w:p>
        </w:tc>
        <w:tc>
          <w:tcPr>
            <w:tcW w:type="dxa" w:w="1264"/>
            <w:tcMar>
              <w:top w:type="dxa" w:w="70"/>
              <w:left w:type="dxa" w:w="90"/>
              <w:bottom w:type="dxa" w:w="70"/>
              <w:right w:type="dxa" w:w="90"/>
            </w:tcMar>
            <w:vAlign w:val="center"/>
          </w:tcPr>
          <w:p>
            <w:pPr>
              <w:jc w:val="left"/>
            </w:pPr>
            <w:r>
              <w:rPr>
                <w:b w:val="false"/>
                <w:bCs w:val="false"/>
                <w:color w:val="000000"/>
                <w:sz w:val="18"/>
                <w:szCs w:val="18"/>
              </w:rPr>
              <w:t xml:space="preserve">6.93</w:t>
            </w:r>
          </w:p>
        </w:tc>
        <w:tc>
          <w:tcPr>
            <w:tcW w:type="dxa" w:w="1264"/>
            <w:tcMar>
              <w:top w:type="dxa" w:w="70"/>
              <w:left w:type="dxa" w:w="90"/>
              <w:bottom w:type="dxa" w:w="70"/>
              <w:right w:type="dxa" w:w="90"/>
            </w:tcMar>
            <w:vAlign w:val="center"/>
          </w:tcPr>
          <w:p>
            <w:pPr>
              <w:jc w:val="left"/>
            </w:pPr>
            <w:r>
              <w:rPr>
                <w:b w:val="false"/>
                <w:bCs w:val="false"/>
                <w:color w:val="000000"/>
                <w:sz w:val="18"/>
                <w:szCs w:val="18"/>
              </w:rPr>
              <w:t xml:space="preserve">12.29</w:t>
            </w:r>
          </w:p>
        </w:tc>
        <w:tc>
          <w:tcPr>
            <w:tcW w:type="dxa" w:w="1264"/>
            <w:tcMar>
              <w:top w:type="dxa" w:w="70"/>
              <w:left w:type="dxa" w:w="90"/>
              <w:bottom w:type="dxa" w:w="70"/>
              <w:right w:type="dxa" w:w="90"/>
            </w:tcMar>
            <w:vAlign w:val="center"/>
          </w:tcPr>
          <w:p>
            <w:pPr>
              <w:jc w:val="left"/>
            </w:pPr>
            <w:r>
              <w:rPr>
                <w:b w:val="false"/>
                <w:bCs w:val="false"/>
                <w:color w:val="000000"/>
                <w:sz w:val="18"/>
                <w:szCs w:val="18"/>
              </w:rPr>
              <w:t xml:space="preserve">6.72</w:t>
            </w:r>
          </w:p>
        </w:tc>
        <w:tc>
          <w:tcPr>
            <w:tcW w:type="dxa" w:w="2166"/>
            <w:tcMar>
              <w:top w:type="dxa" w:w="70"/>
              <w:left w:type="dxa" w:w="90"/>
              <w:bottom w:type="dxa" w:w="70"/>
              <w:right w:type="dxa" w:w="90"/>
            </w:tcMar>
            <w:vAlign w:val="center"/>
          </w:tcPr>
          <w:p>
            <w:pPr>
              <w:jc w:val="left"/>
            </w:pPr>
            <w:r>
              <w:rPr>
                <w:b w:val="false"/>
                <w:bCs w:val="false"/>
                <w:color w:val="000000"/>
                <w:sz w:val="18"/>
                <w:szCs w:val="18"/>
              </w:rPr>
              <w:t xml:space="preserve">neither (nearest Student)</w:t>
            </w:r>
          </w:p>
        </w:tc>
      </w:tr>
    </w:tbl>
    <w:p>
      <w:pPr>
        <w:spacing w:after="300" w:before="80"/>
        <w:jc w:val="center"/>
      </w:pPr>
      <w:r>
        <w:rPr>
          <w:i/>
          <w:iCs/>
          <w:color w:val="555555"/>
          <w:sz w:val="18"/>
          <w:szCs w:val="18"/>
        </w:rPr>
        <w:t xml:space="preserve">Table 4 — ηsoil. Several reported p-values approximately correspond to one test while the printed t corresponds to neither.</w:t>
      </w:r>
    </w:p>
    <w:tbl>
      <w:tblPr>
        <w:tblW w:type="dxa" w:w="9026"/>
        <w:tblBorders>
          <w:top w:val="single" w:color="999999" w:sz="4"/>
          <w:left w:val="single" w:color="999999" w:sz="4"/>
          <w:bottom w:val="single" w:color="999999" w:sz="4"/>
          <w:right w:val="single" w:color="999999" w:sz="4"/>
          <w:insideH w:val="single" w:color="CCCCCC" w:sz="2"/>
          <w:insideV w:val="single" w:color="CCCCCC" w:sz="2"/>
        </w:tblBorders>
      </w:tblPr>
      <w:tblGrid>
        <w:gridCol w:w="1444"/>
        <w:gridCol w:w="1444"/>
        <w:gridCol w:w="1444"/>
        <w:gridCol w:w="1444"/>
        <w:gridCol w:w="3249"/>
      </w:tblGrid>
      <w:tr>
        <w:trPr>
          <w:tblHeader/>
        </w:trPr>
        <w:tc>
          <w:tcPr>
            <w:tcW w:type="dxa" w:w="1444"/>
            <w:shd w:fill="2F3E4E" w:val="clear"/>
            <w:tcMar>
              <w:top w:type="dxa" w:w="70"/>
              <w:left w:type="dxa" w:w="90"/>
              <w:bottom w:type="dxa" w:w="70"/>
              <w:right w:type="dxa" w:w="90"/>
            </w:tcMar>
            <w:vAlign w:val="center"/>
          </w:tcPr>
          <w:p>
            <w:pPr>
              <w:jc w:val="center"/>
            </w:pPr>
            <w:r>
              <w:rPr>
                <w:b/>
                <w:bCs/>
                <w:color w:val="FFFFFF"/>
                <w:sz w:val="18"/>
                <w:szCs w:val="18"/>
              </w:rPr>
              <w:t xml:space="preserve">Society</w:t>
            </w:r>
          </w:p>
        </w:tc>
        <w:tc>
          <w:tcPr>
            <w:tcW w:type="dxa" w:w="1444"/>
            <w:shd w:fill="2F3E4E" w:val="clear"/>
            <w:tcMar>
              <w:top w:type="dxa" w:w="70"/>
              <w:left w:type="dxa" w:w="90"/>
              <w:bottom w:type="dxa" w:w="70"/>
              <w:right w:type="dxa" w:w="90"/>
            </w:tcMar>
            <w:vAlign w:val="center"/>
          </w:tcPr>
          <w:p>
            <w:pPr>
              <w:jc w:val="center"/>
            </w:pPr>
            <w:r>
              <w:rPr>
                <w:b/>
                <w:bCs/>
                <w:color w:val="FFFFFF"/>
                <w:sz w:val="18"/>
                <w:szCs w:val="18"/>
              </w:rPr>
              <w:t xml:space="preserve">Student t</w:t>
            </w:r>
          </w:p>
        </w:tc>
        <w:tc>
          <w:tcPr>
            <w:tcW w:type="dxa" w:w="1444"/>
            <w:shd w:fill="2F3E4E" w:val="clear"/>
            <w:tcMar>
              <w:top w:type="dxa" w:w="70"/>
              <w:left w:type="dxa" w:w="90"/>
              <w:bottom w:type="dxa" w:w="70"/>
              <w:right w:type="dxa" w:w="90"/>
            </w:tcMar>
            <w:vAlign w:val="center"/>
          </w:tcPr>
          <w:p>
            <w:pPr>
              <w:jc w:val="center"/>
            </w:pPr>
            <w:r>
              <w:rPr>
                <w:b/>
                <w:bCs/>
                <w:color w:val="FFFFFF"/>
                <w:sz w:val="18"/>
                <w:szCs w:val="18"/>
              </w:rPr>
              <w:t xml:space="preserve">Welch t</w:t>
            </w:r>
          </w:p>
        </w:tc>
        <w:tc>
          <w:tcPr>
            <w:tcW w:type="dxa" w:w="1444"/>
            <w:shd w:fill="2F3E4E" w:val="clear"/>
            <w:tcMar>
              <w:top w:type="dxa" w:w="70"/>
              <w:left w:type="dxa" w:w="90"/>
              <w:bottom w:type="dxa" w:w="70"/>
              <w:right w:type="dxa" w:w="90"/>
            </w:tcMar>
            <w:vAlign w:val="center"/>
          </w:tcPr>
          <w:p>
            <w:pPr>
              <w:jc w:val="center"/>
            </w:pPr>
            <w:r>
              <w:rPr>
                <w:b/>
                <w:bCs/>
                <w:color w:val="FFFFFF"/>
                <w:sz w:val="18"/>
                <w:szCs w:val="18"/>
              </w:rPr>
              <w:t xml:space="preserve">Paper t</w:t>
            </w:r>
          </w:p>
        </w:tc>
        <w:tc>
          <w:tcPr>
            <w:tcW w:type="dxa" w:w="3249"/>
            <w:shd w:fill="2F3E4E" w:val="clear"/>
            <w:tcMar>
              <w:top w:type="dxa" w:w="70"/>
              <w:left w:type="dxa" w:w="90"/>
              <w:bottom w:type="dxa" w:w="70"/>
              <w:right w:type="dxa" w:w="90"/>
            </w:tcMar>
            <w:vAlign w:val="center"/>
          </w:tcPr>
          <w:p>
            <w:pPr>
              <w:jc w:val="center"/>
            </w:pPr>
            <w:r>
              <w:rPr>
                <w:b/>
                <w:bCs/>
                <w:color w:val="FFFFFF"/>
                <w:sz w:val="18"/>
                <w:szCs w:val="18"/>
              </w:rPr>
              <w:t xml:space="preserve">Note</w:t>
            </w:r>
          </w:p>
        </w:tc>
      </w:tr>
      <w:tr>
        <w:tc>
          <w:tcPr>
            <w:tcW w:type="dxa" w:w="1444"/>
            <w:tcMar>
              <w:top w:type="dxa" w:w="70"/>
              <w:left w:type="dxa" w:w="90"/>
              <w:bottom w:type="dxa" w:w="70"/>
              <w:right w:type="dxa" w:w="90"/>
            </w:tcMar>
            <w:vAlign w:val="center"/>
          </w:tcPr>
          <w:p>
            <w:pPr>
              <w:jc w:val="left"/>
            </w:pPr>
            <w:r>
              <w:rPr>
                <w:b w:val="false"/>
                <w:bCs w:val="false"/>
                <w:color w:val="000000"/>
                <w:sz w:val="18"/>
                <w:szCs w:val="18"/>
              </w:rPr>
              <w:t xml:space="preserve">Australia</w:t>
            </w:r>
          </w:p>
        </w:tc>
        <w:tc>
          <w:tcPr>
            <w:tcW w:type="dxa" w:w="1444"/>
            <w:tcMar>
              <w:top w:type="dxa" w:w="70"/>
              <w:left w:type="dxa" w:w="90"/>
              <w:bottom w:type="dxa" w:w="70"/>
              <w:right w:type="dxa" w:w="90"/>
            </w:tcMar>
            <w:vAlign w:val="center"/>
          </w:tcPr>
          <w:p>
            <w:pPr>
              <w:jc w:val="left"/>
            </w:pPr>
            <w:r>
              <w:rPr>
                <w:b w:val="false"/>
                <w:bCs w:val="false"/>
                <w:color w:val="000000"/>
                <w:sz w:val="18"/>
                <w:szCs w:val="18"/>
              </w:rPr>
              <w:t xml:space="preserve">−3.56</w:t>
            </w:r>
          </w:p>
        </w:tc>
        <w:tc>
          <w:tcPr>
            <w:tcW w:type="dxa" w:w="1444"/>
            <w:tcMar>
              <w:top w:type="dxa" w:w="70"/>
              <w:left w:type="dxa" w:w="90"/>
              <w:bottom w:type="dxa" w:w="70"/>
              <w:right w:type="dxa" w:w="90"/>
            </w:tcMar>
            <w:vAlign w:val="center"/>
          </w:tcPr>
          <w:p>
            <w:pPr>
              <w:jc w:val="left"/>
            </w:pPr>
            <w:r>
              <w:rPr>
                <w:b w:val="false"/>
                <w:bCs w:val="false"/>
                <w:color w:val="000000"/>
                <w:sz w:val="18"/>
                <w:szCs w:val="18"/>
              </w:rPr>
              <w:t xml:space="preserve">−3.46</w:t>
            </w:r>
          </w:p>
        </w:tc>
        <w:tc>
          <w:tcPr>
            <w:tcW w:type="dxa" w:w="1444"/>
            <w:tcMar>
              <w:top w:type="dxa" w:w="70"/>
              <w:left w:type="dxa" w:w="90"/>
              <w:bottom w:type="dxa" w:w="70"/>
              <w:right w:type="dxa" w:w="90"/>
            </w:tcMar>
            <w:vAlign w:val="center"/>
          </w:tcPr>
          <w:p>
            <w:pPr>
              <w:jc w:val="left"/>
            </w:pPr>
            <w:r>
              <w:rPr>
                <w:b w:val="false"/>
                <w:bCs w:val="false"/>
                <w:color w:val="000000"/>
                <w:sz w:val="18"/>
                <w:szCs w:val="18"/>
              </w:rPr>
              <w:t xml:space="preserve">−3.71</w:t>
            </w:r>
          </w:p>
        </w:tc>
        <w:tc>
          <w:tcPr>
            <w:tcW w:type="dxa" w:w="3249"/>
            <w:tcMar>
              <w:top w:type="dxa" w:w="70"/>
              <w:left w:type="dxa" w:w="90"/>
              <w:bottom w:type="dxa" w:w="70"/>
              <w:right w:type="dxa" w:w="90"/>
            </w:tcMar>
            <w:vAlign w:val="center"/>
          </w:tcPr>
          <w:p>
            <w:pPr>
              <w:jc w:val="left"/>
            </w:pPr>
            <w:r>
              <w:rPr>
                <w:b w:val="false"/>
                <w:bCs w:val="false"/>
                <w:color w:val="000000"/>
                <w:sz w:val="18"/>
                <w:szCs w:val="18"/>
              </w:rPr>
              <w:t xml:space="preserve">close to neither</w:t>
            </w:r>
          </w:p>
        </w:tc>
      </w:tr>
      <w:tr>
        <w:tc>
          <w:tcPr>
            <w:tcW w:type="dxa" w:w="1444"/>
            <w:shd w:fill="F4F6F8" w:val="clear"/>
            <w:tcMar>
              <w:top w:type="dxa" w:w="70"/>
              <w:left w:type="dxa" w:w="90"/>
              <w:bottom w:type="dxa" w:w="70"/>
              <w:right w:type="dxa" w:w="90"/>
            </w:tcMar>
            <w:vAlign w:val="center"/>
          </w:tcPr>
          <w:p>
            <w:pPr>
              <w:jc w:val="left"/>
            </w:pPr>
            <w:r>
              <w:rPr>
                <w:b w:val="false"/>
                <w:bCs w:val="false"/>
                <w:color w:val="000000"/>
                <w:sz w:val="18"/>
                <w:szCs w:val="18"/>
              </w:rPr>
              <w:t xml:space="preserve">China</w:t>
            </w:r>
          </w:p>
        </w:tc>
        <w:tc>
          <w:tcPr>
            <w:tcW w:type="dxa" w:w="1444"/>
            <w:shd w:fill="F4F6F8" w:val="clear"/>
            <w:tcMar>
              <w:top w:type="dxa" w:w="70"/>
              <w:left w:type="dxa" w:w="90"/>
              <w:bottom w:type="dxa" w:w="70"/>
              <w:right w:type="dxa" w:w="90"/>
            </w:tcMar>
            <w:vAlign w:val="center"/>
          </w:tcPr>
          <w:p>
            <w:pPr>
              <w:jc w:val="left"/>
            </w:pPr>
            <w:r>
              <w:rPr>
                <w:b w:val="false"/>
                <w:bCs w:val="false"/>
                <w:color w:val="000000"/>
                <w:sz w:val="18"/>
                <w:szCs w:val="18"/>
              </w:rPr>
              <w:t xml:space="preserve">−2.42</w:t>
            </w:r>
          </w:p>
        </w:tc>
        <w:tc>
          <w:tcPr>
            <w:tcW w:type="dxa" w:w="1444"/>
            <w:shd w:fill="F4F6F8" w:val="clear"/>
            <w:tcMar>
              <w:top w:type="dxa" w:w="70"/>
              <w:left w:type="dxa" w:w="90"/>
              <w:bottom w:type="dxa" w:w="70"/>
              <w:right w:type="dxa" w:w="90"/>
            </w:tcMar>
            <w:vAlign w:val="center"/>
          </w:tcPr>
          <w:p>
            <w:pPr>
              <w:jc w:val="left"/>
            </w:pPr>
            <w:r>
              <w:rPr>
                <w:b w:val="false"/>
                <w:bCs w:val="false"/>
                <w:color w:val="000000"/>
                <w:sz w:val="18"/>
                <w:szCs w:val="18"/>
              </w:rPr>
              <w:t xml:space="preserve">−2.64</w:t>
            </w:r>
          </w:p>
        </w:tc>
        <w:tc>
          <w:tcPr>
            <w:tcW w:type="dxa" w:w="1444"/>
            <w:shd w:fill="F4F6F8" w:val="clear"/>
            <w:tcMar>
              <w:top w:type="dxa" w:w="70"/>
              <w:left w:type="dxa" w:w="90"/>
              <w:bottom w:type="dxa" w:w="70"/>
              <w:right w:type="dxa" w:w="90"/>
            </w:tcMar>
            <w:vAlign w:val="center"/>
          </w:tcPr>
          <w:p>
            <w:pPr>
              <w:jc w:val="left"/>
            </w:pPr>
            <w:r>
              <w:rPr>
                <w:b w:val="false"/>
                <w:bCs w:val="false"/>
                <w:color w:val="000000"/>
                <w:sz w:val="18"/>
                <w:szCs w:val="18"/>
              </w:rPr>
              <w:t xml:space="preserve">−2.46</w:t>
            </w:r>
          </w:p>
        </w:tc>
        <w:tc>
          <w:tcPr>
            <w:tcW w:type="dxa" w:w="3249"/>
            <w:shd w:fill="F4F6F8" w:val="clear"/>
            <w:tcMar>
              <w:top w:type="dxa" w:w="70"/>
              <w:left w:type="dxa" w:w="90"/>
              <w:bottom w:type="dxa" w:w="70"/>
              <w:right w:type="dxa" w:w="90"/>
            </w:tcMar>
            <w:vAlign w:val="center"/>
          </w:tcPr>
          <w:p>
            <w:pPr>
              <w:jc w:val="left"/>
            </w:pPr>
            <w:r>
              <w:rPr>
                <w:b w:val="false"/>
                <w:bCs w:val="false"/>
                <w:color w:val="000000"/>
                <w:sz w:val="18"/>
                <w:szCs w:val="18"/>
              </w:rPr>
              <w:t xml:space="preserve">≈ Student</w:t>
            </w:r>
          </w:p>
        </w:tc>
      </w:tr>
      <w:tr>
        <w:tc>
          <w:tcPr>
            <w:tcW w:type="dxa" w:w="1444"/>
            <w:tcMar>
              <w:top w:type="dxa" w:w="70"/>
              <w:left w:type="dxa" w:w="90"/>
              <w:bottom w:type="dxa" w:w="70"/>
              <w:right w:type="dxa" w:w="90"/>
            </w:tcMar>
            <w:vAlign w:val="center"/>
          </w:tcPr>
          <w:p>
            <w:pPr>
              <w:jc w:val="left"/>
            </w:pPr>
            <w:r>
              <w:rPr>
                <w:b w:val="false"/>
                <w:bCs w:val="false"/>
                <w:color w:val="000000"/>
                <w:sz w:val="18"/>
                <w:szCs w:val="18"/>
              </w:rPr>
              <w:t xml:space="preserve">Germany</w:t>
            </w:r>
          </w:p>
        </w:tc>
        <w:tc>
          <w:tcPr>
            <w:tcW w:type="dxa" w:w="1444"/>
            <w:tcMar>
              <w:top w:type="dxa" w:w="70"/>
              <w:left w:type="dxa" w:w="90"/>
              <w:bottom w:type="dxa" w:w="70"/>
              <w:right w:type="dxa" w:w="90"/>
            </w:tcMar>
            <w:vAlign w:val="center"/>
          </w:tcPr>
          <w:p>
            <w:pPr>
              <w:jc w:val="left"/>
            </w:pPr>
            <w:r>
              <w:rPr>
                <w:b w:val="false"/>
                <w:bCs w:val="false"/>
                <w:color w:val="000000"/>
                <w:sz w:val="18"/>
                <w:szCs w:val="18"/>
              </w:rPr>
              <w:t xml:space="preserve">−7.48</w:t>
            </w:r>
          </w:p>
        </w:tc>
        <w:tc>
          <w:tcPr>
            <w:tcW w:type="dxa" w:w="1444"/>
            <w:tcMar>
              <w:top w:type="dxa" w:w="70"/>
              <w:left w:type="dxa" w:w="90"/>
              <w:bottom w:type="dxa" w:w="70"/>
              <w:right w:type="dxa" w:w="90"/>
            </w:tcMar>
            <w:vAlign w:val="center"/>
          </w:tcPr>
          <w:p>
            <w:pPr>
              <w:jc w:val="left"/>
            </w:pPr>
            <w:r>
              <w:rPr>
                <w:b w:val="false"/>
                <w:bCs w:val="false"/>
                <w:color w:val="000000"/>
                <w:sz w:val="18"/>
                <w:szCs w:val="18"/>
              </w:rPr>
              <w:t xml:space="preserve">−6.43</w:t>
            </w:r>
          </w:p>
        </w:tc>
        <w:tc>
          <w:tcPr>
            <w:tcW w:type="dxa" w:w="1444"/>
            <w:tcMar>
              <w:top w:type="dxa" w:w="70"/>
              <w:left w:type="dxa" w:w="90"/>
              <w:bottom w:type="dxa" w:w="70"/>
              <w:right w:type="dxa" w:w="90"/>
            </w:tcMar>
            <w:vAlign w:val="center"/>
          </w:tcPr>
          <w:p>
            <w:pPr>
              <w:jc w:val="left"/>
            </w:pPr>
            <w:r>
              <w:rPr>
                <w:b w:val="false"/>
                <w:bCs w:val="false"/>
                <w:color w:val="000000"/>
                <w:sz w:val="18"/>
                <w:szCs w:val="18"/>
              </w:rPr>
              <w:t xml:space="preserve">−6.52</w:t>
            </w:r>
          </w:p>
        </w:tc>
        <w:tc>
          <w:tcPr>
            <w:tcW w:type="dxa" w:w="3249"/>
            <w:tcMar>
              <w:top w:type="dxa" w:w="70"/>
              <w:left w:type="dxa" w:w="90"/>
              <w:bottom w:type="dxa" w:w="70"/>
              <w:right w:type="dxa" w:w="90"/>
            </w:tcMar>
            <w:vAlign w:val="center"/>
          </w:tcPr>
          <w:p>
            <w:pPr>
              <w:jc w:val="left"/>
            </w:pPr>
            <w:r>
              <w:rPr>
                <w:b w:val="false"/>
                <w:bCs w:val="false"/>
                <w:color w:val="000000"/>
                <w:sz w:val="18"/>
                <w:szCs w:val="18"/>
              </w:rPr>
              <w:t xml:space="preserve">see below</w:t>
            </w:r>
          </w:p>
        </w:tc>
      </w:tr>
      <w:tr>
        <w:tc>
          <w:tcPr>
            <w:tcW w:type="dxa" w:w="1444"/>
            <w:shd w:fill="F4F6F8" w:val="clear"/>
            <w:tcMar>
              <w:top w:type="dxa" w:w="70"/>
              <w:left w:type="dxa" w:w="90"/>
              <w:bottom w:type="dxa" w:w="70"/>
              <w:right w:type="dxa" w:w="90"/>
            </w:tcMar>
            <w:vAlign w:val="center"/>
          </w:tcPr>
          <w:p>
            <w:pPr>
              <w:jc w:val="left"/>
            </w:pPr>
            <w:r>
              <w:rPr>
                <w:b w:val="false"/>
                <w:bCs w:val="false"/>
                <w:color w:val="000000"/>
                <w:sz w:val="18"/>
                <w:szCs w:val="18"/>
              </w:rPr>
              <w:t xml:space="preserve">USA</w:t>
            </w:r>
          </w:p>
        </w:tc>
        <w:tc>
          <w:tcPr>
            <w:tcW w:type="dxa" w:w="1444"/>
            <w:shd w:fill="F4F6F8" w:val="clear"/>
            <w:tcMar>
              <w:top w:type="dxa" w:w="70"/>
              <w:left w:type="dxa" w:w="90"/>
              <w:bottom w:type="dxa" w:w="70"/>
              <w:right w:type="dxa" w:w="90"/>
            </w:tcMar>
            <w:vAlign w:val="center"/>
          </w:tcPr>
          <w:p>
            <w:pPr>
              <w:jc w:val="left"/>
            </w:pPr>
            <w:r>
              <w:rPr>
                <w:b w:val="false"/>
                <w:bCs w:val="false"/>
                <w:color w:val="000000"/>
                <w:sz w:val="18"/>
                <w:szCs w:val="18"/>
              </w:rPr>
              <w:t xml:space="preserve">0.18</w:t>
            </w:r>
          </w:p>
        </w:tc>
        <w:tc>
          <w:tcPr>
            <w:tcW w:type="dxa" w:w="1444"/>
            <w:shd w:fill="F4F6F8" w:val="clear"/>
            <w:tcMar>
              <w:top w:type="dxa" w:w="70"/>
              <w:left w:type="dxa" w:w="90"/>
              <w:bottom w:type="dxa" w:w="70"/>
              <w:right w:type="dxa" w:w="90"/>
            </w:tcMar>
            <w:vAlign w:val="center"/>
          </w:tcPr>
          <w:p>
            <w:pPr>
              <w:jc w:val="left"/>
            </w:pPr>
            <w:r>
              <w:rPr>
                <w:b w:val="false"/>
                <w:bCs w:val="false"/>
                <w:color w:val="000000"/>
                <w:sz w:val="18"/>
                <w:szCs w:val="18"/>
              </w:rPr>
              <w:t xml:space="preserve">0.17</w:t>
            </w:r>
          </w:p>
        </w:tc>
        <w:tc>
          <w:tcPr>
            <w:tcW w:type="dxa" w:w="1444"/>
            <w:shd w:fill="F4F6F8" w:val="clear"/>
            <w:tcMar>
              <w:top w:type="dxa" w:w="70"/>
              <w:left w:type="dxa" w:w="90"/>
              <w:bottom w:type="dxa" w:w="70"/>
              <w:right w:type="dxa" w:w="90"/>
            </w:tcMar>
            <w:vAlign w:val="center"/>
          </w:tcPr>
          <w:p>
            <w:pPr>
              <w:jc w:val="left"/>
            </w:pPr>
            <w:r>
              <w:rPr>
                <w:b w:val="false"/>
                <w:bCs w:val="false"/>
                <w:color w:val="000000"/>
                <w:sz w:val="18"/>
                <w:szCs w:val="18"/>
              </w:rPr>
              <w:t xml:space="preserve">0.18</w:t>
            </w:r>
          </w:p>
        </w:tc>
        <w:tc>
          <w:tcPr>
            <w:tcW w:type="dxa" w:w="3249"/>
            <w:shd w:fill="F4F6F8" w:val="clear"/>
            <w:tcMar>
              <w:top w:type="dxa" w:w="70"/>
              <w:left w:type="dxa" w:w="90"/>
              <w:bottom w:type="dxa" w:w="70"/>
              <w:right w:type="dxa" w:w="90"/>
            </w:tcMar>
            <w:vAlign w:val="center"/>
          </w:tcPr>
          <w:p>
            <w:pPr>
              <w:jc w:val="left"/>
            </w:pPr>
            <w:r>
              <w:rPr>
                <w:b w:val="false"/>
                <w:bCs w:val="false"/>
                <w:color w:val="000000"/>
                <w:sz w:val="18"/>
                <w:szCs w:val="18"/>
              </w:rPr>
              <w:t xml:space="preserve">= Student</w:t>
            </w:r>
          </w:p>
        </w:tc>
      </w:tr>
      <w:tr>
        <w:tc>
          <w:tcPr>
            <w:tcW w:type="dxa" w:w="1444"/>
            <w:tcMar>
              <w:top w:type="dxa" w:w="70"/>
              <w:left w:type="dxa" w:w="90"/>
              <w:bottom w:type="dxa" w:w="70"/>
              <w:right w:type="dxa" w:w="90"/>
            </w:tcMar>
            <w:vAlign w:val="center"/>
          </w:tcPr>
          <w:p>
            <w:pPr>
              <w:jc w:val="left"/>
            </w:pPr>
            <w:r>
              <w:rPr>
                <w:b w:val="false"/>
                <w:bCs w:val="false"/>
                <w:color w:val="000000"/>
                <w:sz w:val="18"/>
                <w:szCs w:val="18"/>
              </w:rPr>
              <w:t xml:space="preserve">Iran</w:t>
            </w:r>
          </w:p>
        </w:tc>
        <w:tc>
          <w:tcPr>
            <w:tcW w:type="dxa" w:w="1444"/>
            <w:tcMar>
              <w:top w:type="dxa" w:w="70"/>
              <w:left w:type="dxa" w:w="90"/>
              <w:bottom w:type="dxa" w:w="70"/>
              <w:right w:type="dxa" w:w="90"/>
            </w:tcMar>
            <w:vAlign w:val="center"/>
          </w:tcPr>
          <w:p>
            <w:pPr>
              <w:jc w:val="left"/>
            </w:pPr>
            <w:r>
              <w:rPr>
                <w:b w:val="false"/>
                <w:bCs w:val="false"/>
                <w:color w:val="000000"/>
                <w:sz w:val="18"/>
                <w:szCs w:val="18"/>
              </w:rPr>
              <w:t xml:space="preserve">−6.52</w:t>
            </w:r>
          </w:p>
        </w:tc>
        <w:tc>
          <w:tcPr>
            <w:tcW w:type="dxa" w:w="1444"/>
            <w:tcMar>
              <w:top w:type="dxa" w:w="70"/>
              <w:left w:type="dxa" w:w="90"/>
              <w:bottom w:type="dxa" w:w="70"/>
              <w:right w:type="dxa" w:w="90"/>
            </w:tcMar>
            <w:vAlign w:val="center"/>
          </w:tcPr>
          <w:p>
            <w:pPr>
              <w:jc w:val="left"/>
            </w:pPr>
            <w:r>
              <w:rPr>
                <w:b w:val="false"/>
                <w:bCs w:val="false"/>
                <w:color w:val="000000"/>
                <w:sz w:val="18"/>
                <w:szCs w:val="18"/>
              </w:rPr>
              <w:t xml:space="preserve">−7.67</w:t>
            </w:r>
          </w:p>
        </w:tc>
        <w:tc>
          <w:tcPr>
            <w:tcW w:type="dxa" w:w="1444"/>
            <w:tcMar>
              <w:top w:type="dxa" w:w="70"/>
              <w:left w:type="dxa" w:w="90"/>
              <w:bottom w:type="dxa" w:w="70"/>
              <w:right w:type="dxa" w:w="90"/>
            </w:tcMar>
            <w:vAlign w:val="center"/>
          </w:tcPr>
          <w:p>
            <w:pPr>
              <w:jc w:val="left"/>
            </w:pPr>
            <w:r>
              <w:rPr>
                <w:b w:val="false"/>
                <w:bCs w:val="false"/>
                <w:color w:val="000000"/>
                <w:sz w:val="18"/>
                <w:szCs w:val="18"/>
              </w:rPr>
              <w:t xml:space="preserve">−6.52</w:t>
            </w:r>
          </w:p>
        </w:tc>
        <w:tc>
          <w:tcPr>
            <w:tcW w:type="dxa" w:w="3249"/>
            <w:tcMar>
              <w:top w:type="dxa" w:w="70"/>
              <w:left w:type="dxa" w:w="90"/>
              <w:bottom w:type="dxa" w:w="70"/>
              <w:right w:type="dxa" w:w="90"/>
            </w:tcMar>
            <w:vAlign w:val="center"/>
          </w:tcPr>
          <w:p>
            <w:pPr>
              <w:jc w:val="left"/>
            </w:pPr>
            <w:r>
              <w:rPr>
                <w:b w:val="false"/>
                <w:bCs w:val="false"/>
                <w:color w:val="000000"/>
                <w:sz w:val="18"/>
                <w:szCs w:val="18"/>
              </w:rPr>
              <w:t xml:space="preserve">= Student</w:t>
            </w:r>
          </w:p>
        </w:tc>
      </w:tr>
    </w:tbl>
    <w:p>
      <w:pPr>
        <w:spacing w:after="300" w:before="80"/>
        <w:jc w:val="center"/>
      </w:pPr>
      <w:r>
        <w:rPr>
          <w:i/>
          <w:iCs/>
          <w:color w:val="555555"/>
          <w:sz w:val="18"/>
          <w:szCs w:val="18"/>
        </w:rPr>
        <w:t xml:space="preserve">Table 5 — σV. Better behaved than ηsoil, but not uniformly one test.</w:t>
      </w:r>
    </w:p>
    <w:p>
      <w:pPr>
        <w:spacing w:after="160" w:line="276"/>
      </w:pPr>
      <w:r>
        <w:rPr>
          <w:b w:val="false"/>
          <w:bCs w:val="false"/>
          <w:i w:val="false"/>
          <w:iCs w:val="false"/>
          <w:sz w:val="22"/>
          <w:szCs w:val="22"/>
        </w:rPr>
        <w:t xml:space="preserve">A specific and diagnosable case: the paper reports σV t = −6.52 with p &lt; 0.0001 for Germany and the identical pair, t = −6.52 and p &lt; 0.0001, for Iran. Iran's Student t computes to exactly −6.52; Germany's computes to −7.48 (Student) or −6.43 (Welch). The duplication is consistent with Germany's cell having been copied from Iran's row. Version 1 described these as reproducing “to the same order of significance and sign,” which was too generous and obscured the pattern.</w:t>
      </w:r>
    </w:p>
    <w:p>
      <w:pPr>
        <w:spacing w:after="160" w:line="276"/>
      </w:pPr>
      <w:r>
        <w:rPr>
          <w:b w:val="false"/>
          <w:bCs w:val="false"/>
          <w:i w:val="false"/>
          <w:iCs w:val="false"/>
          <w:sz w:val="22"/>
          <w:szCs w:val="22"/>
        </w:rPr>
        <w:t xml:space="preserve">The group means themselves are sound. Every stable and crisis σV mean reproduces exactly across all five societies, and the baseline ηsoil means match closely to exactly. It is the inferential layer, not the descriptive layer, that requires regeneration.</w:t>
      </w:r>
    </w:p>
    <w:p>
      <w:pPr>
        <w:pStyle w:val="Heading2"/>
        <w:spacing w:after="120" w:before="280"/>
      </w:pPr>
      <w:r>
        <w:t xml:space="preserve">3.4 Temporal dependence — not checked in v1</w:t>
      </w:r>
    </w:p>
    <w:p>
      <w:pPr>
        <w:spacing w:after="160" w:line="276"/>
      </w:pPr>
      <w:r>
        <w:rPr>
          <w:b w:val="false"/>
          <w:bCs w:val="false"/>
          <w:i w:val="false"/>
          <w:iCs w:val="false"/>
          <w:sz w:val="22"/>
          <w:szCs w:val="22"/>
        </w:rPr>
        <w:t xml:space="preserve">Coded crisis years occur in long contiguous blocks: Germany has effectively one episode, China three, Australia five. Independent-samples t-tests on annual observations therefore overstate the effective sample size substantially. An exact circular-shift permutation test, which preserves both the autocorrelation of the η series and the block structure of the crisis mask, gives:</w:t>
      </w:r>
    </w:p>
    <w:tbl>
      <w:tblPr>
        <w:tblW w:type="dxa" w:w="9026"/>
        <w:tblBorders>
          <w:top w:val="single" w:color="999999" w:sz="4"/>
          <w:left w:val="single" w:color="999999" w:sz="4"/>
          <w:bottom w:val="single" w:color="999999" w:sz="4"/>
          <w:right w:val="single" w:color="999999" w:sz="4"/>
          <w:insideH w:val="single" w:color="CCCCCC" w:sz="2"/>
          <w:insideV w:val="single" w:color="CCCCCC" w:sz="2"/>
        </w:tblBorders>
      </w:tblPr>
      <w:tblGrid>
        <w:gridCol w:w="1805"/>
        <w:gridCol w:w="2347"/>
        <w:gridCol w:w="2527"/>
        <w:gridCol w:w="2347"/>
      </w:tblGrid>
      <w:tr>
        <w:trPr>
          <w:tblHeader/>
        </w:trPr>
        <w:tc>
          <w:tcPr>
            <w:tcW w:type="dxa" w:w="1805"/>
            <w:shd w:fill="2F3E4E" w:val="clear"/>
            <w:tcMar>
              <w:top w:type="dxa" w:w="70"/>
              <w:left w:type="dxa" w:w="90"/>
              <w:bottom w:type="dxa" w:w="70"/>
              <w:right w:type="dxa" w:w="90"/>
            </w:tcMar>
            <w:vAlign w:val="center"/>
          </w:tcPr>
          <w:p>
            <w:pPr>
              <w:jc w:val="center"/>
            </w:pPr>
            <w:r>
              <w:rPr>
                <w:b/>
                <w:bCs/>
                <w:color w:val="FFFFFF"/>
                <w:sz w:val="18"/>
                <w:szCs w:val="18"/>
              </w:rPr>
              <w:t xml:space="preserve">Society</w:t>
            </w:r>
          </w:p>
        </w:tc>
        <w:tc>
          <w:tcPr>
            <w:tcW w:type="dxa" w:w="2347"/>
            <w:shd w:fill="2F3E4E" w:val="clear"/>
            <w:tcMar>
              <w:top w:type="dxa" w:w="70"/>
              <w:left w:type="dxa" w:w="90"/>
              <w:bottom w:type="dxa" w:w="70"/>
              <w:right w:type="dxa" w:w="90"/>
            </w:tcMar>
            <w:vAlign w:val="center"/>
          </w:tcPr>
          <w:p>
            <w:pPr>
              <w:jc w:val="center"/>
            </w:pPr>
            <w:r>
              <w:rPr>
                <w:b/>
                <w:bCs/>
                <w:color w:val="FFFFFF"/>
                <w:sz w:val="18"/>
                <w:szCs w:val="18"/>
              </w:rPr>
              <w:t xml:space="preserve">t-test p (Student)</w:t>
            </w:r>
          </w:p>
        </w:tc>
        <w:tc>
          <w:tcPr>
            <w:tcW w:type="dxa" w:w="2527"/>
            <w:shd w:fill="2F3E4E" w:val="clear"/>
            <w:tcMar>
              <w:top w:type="dxa" w:w="70"/>
              <w:left w:type="dxa" w:w="90"/>
              <w:bottom w:type="dxa" w:w="70"/>
              <w:right w:type="dxa" w:w="90"/>
            </w:tcMar>
            <w:vAlign w:val="center"/>
          </w:tcPr>
          <w:p>
            <w:pPr>
              <w:jc w:val="center"/>
            </w:pPr>
            <w:r>
              <w:rPr>
                <w:b/>
                <w:bCs/>
                <w:color w:val="FFFFFF"/>
                <w:sz w:val="18"/>
                <w:szCs w:val="18"/>
              </w:rPr>
              <w:t xml:space="preserve">Exact circular-shift p</w:t>
            </w:r>
          </w:p>
        </w:tc>
        <w:tc>
          <w:tcPr>
            <w:tcW w:type="dxa" w:w="2347"/>
            <w:shd w:fill="2F3E4E" w:val="clear"/>
            <w:tcMar>
              <w:top w:type="dxa" w:w="70"/>
              <w:left w:type="dxa" w:w="90"/>
              <w:bottom w:type="dxa" w:w="70"/>
              <w:right w:type="dxa" w:w="90"/>
            </w:tcMar>
            <w:vAlign w:val="center"/>
          </w:tcPr>
          <w:p>
            <w:pPr>
              <w:jc w:val="center"/>
            </w:pPr>
            <w:r>
              <w:rPr>
                <w:b/>
                <w:bCs/>
                <w:color w:val="FFFFFF"/>
                <w:sz w:val="18"/>
                <w:szCs w:val="18"/>
              </w:rPr>
              <w:t xml:space="preserve">Survives?</w:t>
            </w:r>
          </w:p>
        </w:tc>
      </w:tr>
      <w:tr>
        <w:tc>
          <w:tcPr>
            <w:tcW w:type="dxa" w:w="1805"/>
            <w:tcMar>
              <w:top w:type="dxa" w:w="70"/>
              <w:left w:type="dxa" w:w="90"/>
              <w:bottom w:type="dxa" w:w="70"/>
              <w:right w:type="dxa" w:w="90"/>
            </w:tcMar>
            <w:vAlign w:val="center"/>
          </w:tcPr>
          <w:p>
            <w:pPr>
              <w:jc w:val="left"/>
            </w:pPr>
            <w:r>
              <w:rPr>
                <w:b w:val="false"/>
                <w:bCs w:val="false"/>
                <w:color w:val="000000"/>
                <w:sz w:val="18"/>
                <w:szCs w:val="18"/>
              </w:rPr>
              <w:t xml:space="preserve">Iran</w:t>
            </w:r>
          </w:p>
        </w:tc>
        <w:tc>
          <w:tcPr>
            <w:tcW w:type="dxa" w:w="2347"/>
            <w:tcMar>
              <w:top w:type="dxa" w:w="70"/>
              <w:left w:type="dxa" w:w="90"/>
              <w:bottom w:type="dxa" w:w="70"/>
              <w:right w:type="dxa" w:w="90"/>
            </w:tcMar>
            <w:vAlign w:val="center"/>
          </w:tcPr>
          <w:p>
            <w:pPr>
              <w:jc w:val="left"/>
            </w:pPr>
            <w:r>
              <w:rPr>
                <w:b w:val="false"/>
                <w:bCs w:val="false"/>
                <w:color w:val="000000"/>
                <w:sz w:val="18"/>
                <w:szCs w:val="18"/>
              </w:rPr>
              <w:t xml:space="preserve">1.2×10⁻¹⁰</w:t>
            </w:r>
          </w:p>
        </w:tc>
        <w:tc>
          <w:tcPr>
            <w:tcW w:type="dxa" w:w="2527"/>
            <w:tcMar>
              <w:top w:type="dxa" w:w="70"/>
              <w:left w:type="dxa" w:w="90"/>
              <w:bottom w:type="dxa" w:w="70"/>
              <w:right w:type="dxa" w:w="90"/>
            </w:tcMar>
            <w:vAlign w:val="center"/>
          </w:tcPr>
          <w:p>
            <w:pPr>
              <w:jc w:val="left"/>
            </w:pPr>
            <w:r>
              <w:rPr>
                <w:b w:val="false"/>
                <w:bCs w:val="false"/>
                <w:color w:val="000000"/>
                <w:sz w:val="18"/>
                <w:szCs w:val="18"/>
              </w:rPr>
              <w:t xml:space="preserve">0.0066</w:t>
            </w:r>
          </w:p>
        </w:tc>
        <w:tc>
          <w:tcPr>
            <w:tcW w:type="dxa" w:w="2347"/>
            <w:tcMar>
              <w:top w:type="dxa" w:w="70"/>
              <w:left w:type="dxa" w:w="90"/>
              <w:bottom w:type="dxa" w:w="70"/>
              <w:right w:type="dxa" w:w="90"/>
            </w:tcMar>
            <w:vAlign w:val="center"/>
          </w:tcPr>
          <w:p>
            <w:pPr>
              <w:jc w:val="left"/>
            </w:pPr>
            <w:r>
              <w:rPr>
                <w:b w:val="false"/>
                <w:bCs w:val="false"/>
                <w:color w:val="000000"/>
                <w:sz w:val="18"/>
                <w:szCs w:val="18"/>
              </w:rPr>
              <w:t xml:space="preserve">yes</w:t>
            </w:r>
          </w:p>
        </w:tc>
      </w:tr>
      <w:tr>
        <w:tc>
          <w:tcPr>
            <w:tcW w:type="dxa" w:w="1805"/>
            <w:shd w:fill="F4F6F8" w:val="clear"/>
            <w:tcMar>
              <w:top w:type="dxa" w:w="70"/>
              <w:left w:type="dxa" w:w="90"/>
              <w:bottom w:type="dxa" w:w="70"/>
              <w:right w:type="dxa" w:w="90"/>
            </w:tcMar>
            <w:vAlign w:val="center"/>
          </w:tcPr>
          <w:p>
            <w:pPr>
              <w:jc w:val="left"/>
            </w:pPr>
            <w:r>
              <w:rPr>
                <w:b w:val="false"/>
                <w:bCs w:val="false"/>
                <w:color w:val="000000"/>
                <w:sz w:val="18"/>
                <w:szCs w:val="18"/>
              </w:rPr>
              <w:t xml:space="preserve">China</w:t>
            </w:r>
          </w:p>
        </w:tc>
        <w:tc>
          <w:tcPr>
            <w:tcW w:type="dxa" w:w="2347"/>
            <w:shd w:fill="F4F6F8" w:val="clear"/>
            <w:tcMar>
              <w:top w:type="dxa" w:w="70"/>
              <w:left w:type="dxa" w:w="90"/>
              <w:bottom w:type="dxa" w:w="70"/>
              <w:right w:type="dxa" w:w="90"/>
            </w:tcMar>
            <w:vAlign w:val="center"/>
          </w:tcPr>
          <w:p>
            <w:pPr>
              <w:jc w:val="left"/>
            </w:pPr>
            <w:r>
              <w:rPr>
                <w:b w:val="false"/>
                <w:bCs w:val="false"/>
                <w:color w:val="000000"/>
                <w:sz w:val="18"/>
                <w:szCs w:val="18"/>
              </w:rPr>
              <w:t xml:space="preserve">0.00031</w:t>
            </w:r>
          </w:p>
        </w:tc>
        <w:tc>
          <w:tcPr>
            <w:tcW w:type="dxa" w:w="2527"/>
            <w:shd w:fill="F4F6F8" w:val="clear"/>
            <w:tcMar>
              <w:top w:type="dxa" w:w="70"/>
              <w:left w:type="dxa" w:w="90"/>
              <w:bottom w:type="dxa" w:w="70"/>
              <w:right w:type="dxa" w:w="90"/>
            </w:tcMar>
            <w:vAlign w:val="center"/>
          </w:tcPr>
          <w:p>
            <w:pPr>
              <w:jc w:val="left"/>
            </w:pPr>
            <w:r>
              <w:rPr>
                <w:b w:val="false"/>
                <w:bCs w:val="false"/>
                <w:color w:val="000000"/>
                <w:sz w:val="18"/>
                <w:szCs w:val="18"/>
              </w:rPr>
              <w:t xml:space="preserve">0.0079</w:t>
            </w:r>
          </w:p>
        </w:tc>
        <w:tc>
          <w:tcPr>
            <w:tcW w:type="dxa" w:w="2347"/>
            <w:shd w:fill="F4F6F8" w:val="clear"/>
            <w:tcMar>
              <w:top w:type="dxa" w:w="70"/>
              <w:left w:type="dxa" w:w="90"/>
              <w:bottom w:type="dxa" w:w="70"/>
              <w:right w:type="dxa" w:w="90"/>
            </w:tcMar>
            <w:vAlign w:val="center"/>
          </w:tcPr>
          <w:p>
            <w:pPr>
              <w:jc w:val="left"/>
            </w:pPr>
            <w:r>
              <w:rPr>
                <w:b w:val="false"/>
                <w:bCs w:val="false"/>
                <w:color w:val="000000"/>
                <w:sz w:val="18"/>
                <w:szCs w:val="18"/>
              </w:rPr>
              <w:t xml:space="preserve">yes</w:t>
            </w:r>
          </w:p>
        </w:tc>
      </w:tr>
      <w:tr>
        <w:tc>
          <w:tcPr>
            <w:tcW w:type="dxa" w:w="1805"/>
            <w:tcMar>
              <w:top w:type="dxa" w:w="70"/>
              <w:left w:type="dxa" w:w="90"/>
              <w:bottom w:type="dxa" w:w="70"/>
              <w:right w:type="dxa" w:w="90"/>
            </w:tcMar>
            <w:vAlign w:val="center"/>
          </w:tcPr>
          <w:p>
            <w:pPr>
              <w:jc w:val="left"/>
            </w:pPr>
            <w:r>
              <w:rPr>
                <w:b w:val="false"/>
                <w:bCs w:val="false"/>
                <w:color w:val="000000"/>
                <w:sz w:val="18"/>
                <w:szCs w:val="18"/>
              </w:rPr>
              <w:t xml:space="preserve">Australia</w:t>
            </w:r>
          </w:p>
        </w:tc>
        <w:tc>
          <w:tcPr>
            <w:tcW w:type="dxa" w:w="2347"/>
            <w:tcMar>
              <w:top w:type="dxa" w:w="70"/>
              <w:left w:type="dxa" w:w="90"/>
              <w:bottom w:type="dxa" w:w="70"/>
              <w:right w:type="dxa" w:w="90"/>
            </w:tcMar>
            <w:vAlign w:val="center"/>
          </w:tcPr>
          <w:p>
            <w:pPr>
              <w:jc w:val="left"/>
            </w:pPr>
            <w:r>
              <w:rPr>
                <w:b w:val="false"/>
                <w:bCs w:val="false"/>
                <w:color w:val="000000"/>
                <w:sz w:val="18"/>
                <w:szCs w:val="18"/>
              </w:rPr>
              <w:t xml:space="preserve">0.00039</w:t>
            </w:r>
          </w:p>
        </w:tc>
        <w:tc>
          <w:tcPr>
            <w:tcW w:type="dxa" w:w="2527"/>
            <w:tcMar>
              <w:top w:type="dxa" w:w="70"/>
              <w:left w:type="dxa" w:w="90"/>
              <w:bottom w:type="dxa" w:w="70"/>
              <w:right w:type="dxa" w:w="90"/>
            </w:tcMar>
            <w:vAlign w:val="center"/>
          </w:tcPr>
          <w:p>
            <w:pPr>
              <w:jc w:val="left"/>
            </w:pPr>
            <w:r>
              <w:rPr>
                <w:b w:val="false"/>
                <w:bCs w:val="false"/>
                <w:color w:val="000000"/>
                <w:sz w:val="18"/>
                <w:szCs w:val="18"/>
              </w:rPr>
              <w:t xml:space="preserve">0.0153</w:t>
            </w:r>
          </w:p>
        </w:tc>
        <w:tc>
          <w:tcPr>
            <w:tcW w:type="dxa" w:w="2347"/>
            <w:tcMar>
              <w:top w:type="dxa" w:w="70"/>
              <w:left w:type="dxa" w:w="90"/>
              <w:bottom w:type="dxa" w:w="70"/>
              <w:right w:type="dxa" w:w="90"/>
            </w:tcMar>
            <w:vAlign w:val="center"/>
          </w:tcPr>
          <w:p>
            <w:pPr>
              <w:jc w:val="left"/>
            </w:pPr>
            <w:r>
              <w:rPr>
                <w:b w:val="false"/>
                <w:bCs w:val="false"/>
                <w:color w:val="000000"/>
                <w:sz w:val="18"/>
                <w:szCs w:val="18"/>
              </w:rPr>
              <w:t xml:space="preserve">yes</w:t>
            </w:r>
          </w:p>
        </w:tc>
      </w:tr>
      <w:tr>
        <w:tc>
          <w:tcPr>
            <w:tcW w:type="dxa" w:w="1805"/>
            <w:shd w:fill="F4F6F8" w:val="clear"/>
            <w:tcMar>
              <w:top w:type="dxa" w:w="70"/>
              <w:left w:type="dxa" w:w="90"/>
              <w:bottom w:type="dxa" w:w="70"/>
              <w:right w:type="dxa" w:w="90"/>
            </w:tcMar>
            <w:vAlign w:val="center"/>
          </w:tcPr>
          <w:p>
            <w:pPr>
              <w:jc w:val="left"/>
            </w:pPr>
            <w:r>
              <w:rPr>
                <w:b w:val="false"/>
                <w:bCs w:val="false"/>
                <w:color w:val="000000"/>
                <w:sz w:val="18"/>
                <w:szCs w:val="18"/>
              </w:rPr>
              <w:t xml:space="preserve">Germany</w:t>
            </w:r>
          </w:p>
        </w:tc>
        <w:tc>
          <w:tcPr>
            <w:tcW w:type="dxa" w:w="2347"/>
            <w:shd w:fill="F4F6F8" w:val="clear"/>
            <w:tcMar>
              <w:top w:type="dxa" w:w="70"/>
              <w:left w:type="dxa" w:w="90"/>
              <w:bottom w:type="dxa" w:w="70"/>
              <w:right w:type="dxa" w:w="90"/>
            </w:tcMar>
            <w:vAlign w:val="center"/>
          </w:tcPr>
          <w:p>
            <w:pPr>
              <w:jc w:val="left"/>
            </w:pPr>
            <w:r>
              <w:rPr>
                <w:b w:val="false"/>
                <w:bCs w:val="false"/>
                <w:color w:val="000000"/>
                <w:sz w:val="18"/>
                <w:szCs w:val="18"/>
              </w:rPr>
              <w:t xml:space="preserve">9.7×10⁻¹¹</w:t>
            </w:r>
          </w:p>
        </w:tc>
        <w:tc>
          <w:tcPr>
            <w:tcW w:type="dxa" w:w="2527"/>
            <w:shd w:fill="F4F6F8" w:val="clear"/>
            <w:tcMar>
              <w:top w:type="dxa" w:w="70"/>
              <w:left w:type="dxa" w:w="90"/>
              <w:bottom w:type="dxa" w:w="70"/>
              <w:right w:type="dxa" w:w="90"/>
            </w:tcMar>
            <w:vAlign w:val="center"/>
          </w:tcPr>
          <w:p>
            <w:pPr>
              <w:jc w:val="left"/>
            </w:pPr>
            <w:r>
              <w:rPr>
                <w:b w:val="false"/>
                <w:bCs w:val="false"/>
                <w:color w:val="000000"/>
                <w:sz w:val="18"/>
                <w:szCs w:val="18"/>
              </w:rPr>
              <w:t xml:space="preserve">0.0930</w:t>
            </w:r>
          </w:p>
        </w:tc>
        <w:tc>
          <w:tcPr>
            <w:tcW w:type="dxa" w:w="2347"/>
            <w:shd w:fill="F4F6F8" w:val="clear"/>
            <w:tcMar>
              <w:top w:type="dxa" w:w="70"/>
              <w:left w:type="dxa" w:w="90"/>
              <w:bottom w:type="dxa" w:w="70"/>
              <w:right w:type="dxa" w:w="90"/>
            </w:tcMar>
            <w:vAlign w:val="center"/>
          </w:tcPr>
          <w:p>
            <w:pPr>
              <w:jc w:val="left"/>
            </w:pPr>
            <w:r>
              <w:rPr>
                <w:b w:val="false"/>
                <w:bCs w:val="false"/>
                <w:color w:val="000000"/>
                <w:sz w:val="18"/>
                <w:szCs w:val="18"/>
              </w:rPr>
              <w:t xml:space="preserve">no</w:t>
            </w:r>
          </w:p>
        </w:tc>
      </w:tr>
      <w:tr>
        <w:tc>
          <w:tcPr>
            <w:tcW w:type="dxa" w:w="1805"/>
            <w:tcMar>
              <w:top w:type="dxa" w:w="70"/>
              <w:left w:type="dxa" w:w="90"/>
              <w:bottom w:type="dxa" w:w="70"/>
              <w:right w:type="dxa" w:w="90"/>
            </w:tcMar>
            <w:vAlign w:val="center"/>
          </w:tcPr>
          <w:p>
            <w:pPr>
              <w:jc w:val="left"/>
            </w:pPr>
            <w:r>
              <w:rPr>
                <w:b w:val="false"/>
                <w:bCs w:val="false"/>
                <w:color w:val="000000"/>
                <w:sz w:val="18"/>
                <w:szCs w:val="18"/>
              </w:rPr>
              <w:t xml:space="preserve">USA</w:t>
            </w:r>
          </w:p>
        </w:tc>
        <w:tc>
          <w:tcPr>
            <w:tcW w:type="dxa" w:w="2347"/>
            <w:tcMar>
              <w:top w:type="dxa" w:w="70"/>
              <w:left w:type="dxa" w:w="90"/>
              <w:bottom w:type="dxa" w:w="70"/>
              <w:right w:type="dxa" w:w="90"/>
            </w:tcMar>
            <w:vAlign w:val="center"/>
          </w:tcPr>
          <w:p>
            <w:pPr>
              <w:jc w:val="left"/>
            </w:pPr>
            <w:r>
              <w:rPr>
                <w:b w:val="false"/>
                <w:bCs w:val="false"/>
                <w:color w:val="000000"/>
                <w:sz w:val="18"/>
                <w:szCs w:val="18"/>
              </w:rPr>
              <w:t xml:space="preserve">0.392</w:t>
            </w:r>
          </w:p>
        </w:tc>
        <w:tc>
          <w:tcPr>
            <w:tcW w:type="dxa" w:w="2527"/>
            <w:tcMar>
              <w:top w:type="dxa" w:w="70"/>
              <w:left w:type="dxa" w:w="90"/>
              <w:bottom w:type="dxa" w:w="70"/>
              <w:right w:type="dxa" w:w="90"/>
            </w:tcMar>
            <w:vAlign w:val="center"/>
          </w:tcPr>
          <w:p>
            <w:pPr>
              <w:jc w:val="left"/>
            </w:pPr>
            <w:r>
              <w:rPr>
                <w:b w:val="false"/>
                <w:bCs w:val="false"/>
                <w:color w:val="000000"/>
                <w:sz w:val="18"/>
                <w:szCs w:val="18"/>
              </w:rPr>
              <w:t xml:space="preserve">0.2903</w:t>
            </w:r>
          </w:p>
        </w:tc>
        <w:tc>
          <w:tcPr>
            <w:tcW w:type="dxa" w:w="2347"/>
            <w:tcMar>
              <w:top w:type="dxa" w:w="70"/>
              <w:left w:type="dxa" w:w="90"/>
              <w:bottom w:type="dxa" w:w="70"/>
              <w:right w:type="dxa" w:w="90"/>
            </w:tcMar>
            <w:vAlign w:val="center"/>
          </w:tcPr>
          <w:p>
            <w:pPr>
              <w:jc w:val="left"/>
            </w:pPr>
            <w:r>
              <w:rPr>
                <w:b w:val="false"/>
                <w:bCs w:val="false"/>
                <w:color w:val="000000"/>
                <w:sz w:val="18"/>
                <w:szCs w:val="18"/>
              </w:rPr>
              <w:t xml:space="preserve">no (already null)</w:t>
            </w:r>
          </w:p>
        </w:tc>
      </w:tr>
    </w:tbl>
    <w:p>
      <w:pPr>
        <w:spacing w:after="300" w:before="80"/>
        <w:jc w:val="center"/>
      </w:pPr>
      <w:r>
        <w:rPr>
          <w:i/>
          <w:iCs/>
          <w:color w:val="555555"/>
          <w:sz w:val="18"/>
          <w:szCs w:val="18"/>
        </w:rPr>
        <w:t xml:space="preserve">Table 6 — Exact enumeration of all N circular shifts, p = k/N with the observed alignment counted once.</w:t>
      </w:r>
    </w:p>
    <w:p>
      <w:pPr>
        <w:spacing w:after="160" w:line="276"/>
      </w:pPr>
      <w:r>
        <w:rPr>
          <w:b w:val="false"/>
          <w:bCs w:val="false"/>
          <w:i w:val="false"/>
          <w:iCs w:val="false"/>
          <w:sz w:val="22"/>
          <w:szCs w:val="22"/>
        </w:rPr>
        <w:t xml:space="preserve">The defensible statement of H1 is therefore narrower than “confirmed for five of six societies”:</w:t>
      </w:r>
    </w:p>
    <w:p>
      <w:pPr>
        <w:pBdr>
          <w:left w:val="single" w:color="2F3E4E" w:sz="18" w:space="12"/>
        </w:pBdr>
        <w:shd w:fill="F4F6F8" w:val="clear"/>
        <w:spacing w:after="200" w:before="160" w:line="276"/>
        <w:ind w:left="360" w:right="360"/>
      </w:pPr>
      <w:r>
        <w:rPr>
          <w:i/>
          <w:iCs/>
          <w:sz w:val="21"/>
          <w:szCs w:val="21"/>
        </w:rPr>
        <w:t xml:space="preserve">Crisis periods have lower mean ηsoil in all five valid panels; the difference is conventionally significant in four, and remains significant under a conservative temporal-shift check in three.</w:t>
      </w:r>
    </w:p>
    <w:p>
      <w:pPr>
        <w:pStyle w:val="Heading2"/>
        <w:spacing w:after="120" w:before="280"/>
      </w:pPr>
      <w:r>
        <w:t xml:space="preserve">3.5 Incremental value — not checked in v1</w:t>
      </w:r>
    </w:p>
    <w:p>
      <w:pPr>
        <w:spacing w:after="160" w:line="276"/>
      </w:pPr>
      <w:r>
        <w:rPr>
          <w:b w:val="false"/>
          <w:bCs w:val="false"/>
          <w:i w:val="false"/>
          <w:iCs w:val="false"/>
          <w:sz w:val="22"/>
          <w:szCs w:val="22"/>
        </w:rPr>
        <w:t xml:space="preserve">Pooled across the five valid societies after within-society standardisation (n=527, 118 crisis years), ηsoil is outperformed by three simpler quantities, including one of its own numerator components:</w:t>
      </w:r>
    </w:p>
    <w:p>
      <w:pPr>
        <w:spacing w:after="0" w:before="200"/>
        <w:jc w:val="center"/>
      </w:pPr>
      <w:r>
        <w:drawing>
          <wp:inline distT="0" distB="0" distL="0" distR="0">
            <wp:extent cx="4476750" cy="2514600"/>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0" cstate="none"/>
                    <a:srcRect/>
                    <a:stretch>
                      <a:fillRect/>
                    </a:stretch>
                  </pic:blipFill>
                  <pic:spPr bwMode="auto">
                    <a:xfrm>
                      <a:off x="0" y="0"/>
                      <a:ext cx="4476750" cy="2514600"/>
                    </a:xfrm>
                    <a:prstGeom prst="rect">
                      <a:avLst/>
                    </a:prstGeom>
                  </pic:spPr>
                </pic:pic>
              </a:graphicData>
            </a:graphic>
          </wp:inline>
        </w:drawing>
      </w:r>
    </w:p>
    <w:p>
      <w:pPr>
        <w:spacing w:after="300" w:before="80"/>
        <w:jc w:val="center"/>
      </w:pPr>
      <w:r>
        <w:rPr>
          <w:i/>
          <w:iCs/>
          <w:color w:val="555555"/>
          <w:sz w:val="18"/>
          <w:szCs w:val="18"/>
        </w:rPr>
        <w:t xml:space="preserve">Figure 4 — Pooled in-sample AUC for discriminating coded crisis years.</w:t>
      </w:r>
    </w:p>
    <w:p>
      <w:pPr>
        <w:spacing w:after="160" w:line="276"/>
      </w:pPr>
      <w:r>
        <w:rPr>
          <w:b w:val="false"/>
          <w:bCs w:val="false"/>
          <w:i w:val="false"/>
          <w:iCs w:val="false"/>
          <w:sz w:val="22"/>
          <w:szCs w:val="22"/>
        </w:rPr>
        <w:t xml:space="preserve">The diagnosis is sharper than redundancy. Archive bond strength is a factor in ηsoil's own numerator, and it discriminates better (0.907) than the composite built on top of it (0.861). The SHands and σV normalisations are therefore removing signal the numerator already carries, not adding any. This points at a specific repair — ablation and incremental-value testing of the denominator — rather than a general complaint about construct redundancy.</w:t>
      </w:r>
    </w:p>
    <w:p>
      <w:pPr>
        <w:spacing w:after="160" w:line="276"/>
      </w:pPr>
      <w:r>
        <w:rPr>
          <w:b w:val="false"/>
          <w:bCs w:val="false"/>
          <w:i w:val="false"/>
          <w:iCs w:val="false"/>
          <w:sz w:val="22"/>
          <w:szCs w:val="22"/>
        </w:rPr>
        <w:t xml:space="preserve">A related construct concern: stress enters ηsoil at three points — through the exponential stress decay inside both bond strengths, directly as SHands in the denominator, and again through σV, which is computed from Node Values that subtract Stress. The crisis labels are historical periods whose stressfulness is known to the scorers, and the project's own methodology page acknowledges that scorers “are trained on historical text that may implicitly contain outcome information.” Coding crises blind to CAMS scores does not remove this dependency, because CAMS scoring was not blind to the identity of the wars and revolutions being scored. H1 is accordingly evidence of concurrent construct alignment, not of prediction.</w:t>
      </w:r>
    </w:p>
    <w:p>
      <w:pPr>
        <w:pStyle w:val="Heading2"/>
        <w:spacing w:after="120" w:before="280"/>
      </w:pPr>
      <w:r>
        <w:t xml:space="preserve">3.6 Regime attractors (H3)</w:t>
      </w:r>
    </w:p>
    <w:p>
      <w:pPr>
        <w:spacing w:after="160" w:line="276"/>
      </w:pPr>
      <w:r>
        <w:rPr>
          <w:b w:val="false"/>
          <w:bCs w:val="false"/>
          <w:i w:val="false"/>
          <w:iCs w:val="false"/>
          <w:sz w:val="22"/>
          <w:szCs w:val="22"/>
        </w:rPr>
        <w:t xml:space="preserve">The three named regimes reproduce as descriptions. Iran 1995 (η=0.212, σV=0.33) matches to four decimal places; USA 2020 (V̄=2.7, σV=1.79, Vmin=0.3) matches exactly; Australia's stable/crisis σV of 3.16/3.93 matches on the corrected file. What is absent is any test that would make them attractors: no clustering criterion, basin estimation, recurrence analysis, transition probability, dwell-time test, or held-out classification is reported, and each class has exactly one exemplar society. They are interpretive typologies, and should be labelled as such.</w:t>
      </w:r>
    </w:p>
    <w:p>
      <w:pPr>
        <w:spacing w:after="0" w:before="200"/>
        <w:jc w:val="center"/>
      </w:pPr>
      <w:r>
        <w:drawing>
          <wp:inline distT="0" distB="0" distL="0" distR="0">
            <wp:extent cx="4333875" cy="3238500"/>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1" cstate="none"/>
                    <a:srcRect/>
                    <a:stretch>
                      <a:fillRect/>
                    </a:stretch>
                  </pic:blipFill>
                  <pic:spPr bwMode="auto">
                    <a:xfrm>
                      <a:off x="0" y="0"/>
                      <a:ext cx="4333875" cy="3238500"/>
                    </a:xfrm>
                    <a:prstGeom prst="rect">
                      <a:avLst/>
                    </a:prstGeom>
                  </pic:spPr>
                </pic:pic>
              </a:graphicData>
            </a:graphic>
          </wp:inline>
        </w:drawing>
      </w:r>
    </w:p>
    <w:p>
      <w:pPr>
        <w:spacing w:after="300" w:before="80"/>
        <w:jc w:val="center"/>
      </w:pPr>
      <w:r>
        <w:rPr>
          <w:i/>
          <w:iCs/>
          <w:color w:val="555555"/>
          <w:sz w:val="18"/>
          <w:szCs w:val="18"/>
        </w:rPr>
        <w:t xml:space="preserve">Figure 5 — σV × ηsoil plane, five valid societies. Filled markers are coded crisis years.</w:t>
      </w:r>
    </w:p>
    <w:p>
      <w:r>
        <w:br w:type="page"/>
      </w:r>
    </w:p>
    <w:p>
      <w:pPr>
        <w:pStyle w:val="Heading1"/>
        <w:spacing w:after="160" w:before="360"/>
      </w:pPr>
      <w:r>
        <w:t xml:space="preserve">4. Consolidated Errata</w:t>
      </w:r>
    </w:p>
    <w:p>
      <w:pPr>
        <w:spacing w:after="160" w:line="276"/>
      </w:pPr>
      <w:r>
        <w:rPr>
          <w:b w:val="false"/>
          <w:bCs w:val="false"/>
          <w:i w:val="false"/>
          <w:iCs w:val="false"/>
          <w:sz w:val="22"/>
          <w:szCs w:val="22"/>
        </w:rPr>
        <w:t xml:space="preserve">Items 1–8 were identified in v1. Items 9–17 are new in v2; all were independently recomputed here and confirmed.</w:t>
      </w:r>
    </w:p>
    <w:tbl>
      <w:tblPr>
        <w:tblW w:type="dxa" w:w="9026"/>
        <w:tblBorders>
          <w:top w:val="single" w:color="999999" w:sz="4"/>
          <w:left w:val="single" w:color="999999" w:sz="4"/>
          <w:bottom w:val="single" w:color="999999" w:sz="4"/>
          <w:right w:val="single" w:color="999999" w:sz="4"/>
          <w:insideH w:val="single" w:color="CCCCCC" w:sz="2"/>
          <w:insideV w:val="single" w:color="CCCCCC" w:sz="2"/>
        </w:tblBorders>
      </w:tblPr>
      <w:tblGrid>
        <w:gridCol w:w="451"/>
        <w:gridCol w:w="1173"/>
        <w:gridCol w:w="1715"/>
        <w:gridCol w:w="4242"/>
        <w:gridCol w:w="1444"/>
      </w:tblGrid>
      <w:tr>
        <w:trPr>
          <w:tblHeader/>
        </w:trPr>
        <w:tc>
          <w:tcPr>
            <w:tcW w:type="dxa" w:w="451"/>
            <w:shd w:fill="2F3E4E" w:val="clear"/>
            <w:tcMar>
              <w:top w:type="dxa" w:w="70"/>
              <w:left w:type="dxa" w:w="90"/>
              <w:bottom w:type="dxa" w:w="70"/>
              <w:right w:type="dxa" w:w="90"/>
            </w:tcMar>
            <w:vAlign w:val="center"/>
          </w:tcPr>
          <w:p>
            <w:pPr>
              <w:jc w:val="center"/>
            </w:pPr>
            <w:r>
              <w:rPr>
                <w:b/>
                <w:bCs/>
                <w:color w:val="FFFFFF"/>
                <w:sz w:val="16"/>
                <w:szCs w:val="16"/>
              </w:rPr>
              <w:t xml:space="preserve">#</w:t>
            </w:r>
          </w:p>
        </w:tc>
        <w:tc>
          <w:tcPr>
            <w:tcW w:type="dxa" w:w="1173"/>
            <w:shd w:fill="2F3E4E" w:val="clear"/>
            <w:tcMar>
              <w:top w:type="dxa" w:w="70"/>
              <w:left w:type="dxa" w:w="90"/>
              <w:bottom w:type="dxa" w:w="70"/>
              <w:right w:type="dxa" w:w="90"/>
            </w:tcMar>
            <w:vAlign w:val="center"/>
          </w:tcPr>
          <w:p>
            <w:pPr>
              <w:jc w:val="center"/>
            </w:pPr>
            <w:r>
              <w:rPr>
                <w:b/>
                <w:bCs/>
                <w:color w:val="FFFFFF"/>
                <w:sz w:val="16"/>
                <w:szCs w:val="16"/>
              </w:rPr>
              <w:t xml:space="preserve">Paper</w:t>
            </w:r>
          </w:p>
        </w:tc>
        <w:tc>
          <w:tcPr>
            <w:tcW w:type="dxa" w:w="1715"/>
            <w:shd w:fill="2F3E4E" w:val="clear"/>
            <w:tcMar>
              <w:top w:type="dxa" w:w="70"/>
              <w:left w:type="dxa" w:w="90"/>
              <w:bottom w:type="dxa" w:w="70"/>
              <w:right w:type="dxa" w:w="90"/>
            </w:tcMar>
            <w:vAlign w:val="center"/>
          </w:tcPr>
          <w:p>
            <w:pPr>
              <w:jc w:val="center"/>
            </w:pPr>
            <w:r>
              <w:rPr>
                <w:b/>
                <w:bCs/>
                <w:color w:val="FFFFFF"/>
                <w:sz w:val="16"/>
                <w:szCs w:val="16"/>
              </w:rPr>
              <w:t xml:space="preserve">Location</w:t>
            </w:r>
          </w:p>
        </w:tc>
        <w:tc>
          <w:tcPr>
            <w:tcW w:type="dxa" w:w="4242"/>
            <w:shd w:fill="2F3E4E" w:val="clear"/>
            <w:tcMar>
              <w:top w:type="dxa" w:w="70"/>
              <w:left w:type="dxa" w:w="90"/>
              <w:bottom w:type="dxa" w:w="70"/>
              <w:right w:type="dxa" w:w="90"/>
            </w:tcMar>
            <w:vAlign w:val="center"/>
          </w:tcPr>
          <w:p>
            <w:pPr>
              <w:jc w:val="center"/>
            </w:pPr>
            <w:r>
              <w:rPr>
                <w:b/>
                <w:bCs/>
                <w:color w:val="FFFFFF"/>
                <w:sz w:val="16"/>
                <w:szCs w:val="16"/>
              </w:rPr>
              <w:t xml:space="preserve">Correction</w:t>
            </w:r>
          </w:p>
        </w:tc>
        <w:tc>
          <w:tcPr>
            <w:tcW w:type="dxa" w:w="1444"/>
            <w:shd w:fill="2F3E4E" w:val="clear"/>
            <w:tcMar>
              <w:top w:type="dxa" w:w="70"/>
              <w:left w:type="dxa" w:w="90"/>
              <w:bottom w:type="dxa" w:w="70"/>
              <w:right w:type="dxa" w:w="90"/>
            </w:tcMar>
            <w:vAlign w:val="center"/>
          </w:tcPr>
          <w:p>
            <w:pPr>
              <w:jc w:val="center"/>
            </w:pPr>
            <w:r>
              <w:rPr>
                <w:b/>
                <w:bCs/>
                <w:color w:val="FFFFFF"/>
                <w:sz w:val="16"/>
                <w:szCs w:val="16"/>
              </w:rPr>
              <w:t xml:space="preserve">Type</w:t>
            </w:r>
          </w:p>
        </w:tc>
      </w:tr>
      <w:tr>
        <w:tc>
          <w:tcPr>
            <w:tcW w:type="dxa" w:w="451"/>
            <w:tcMar>
              <w:top w:type="dxa" w:w="70"/>
              <w:left w:type="dxa" w:w="90"/>
              <w:bottom w:type="dxa" w:w="70"/>
              <w:right w:type="dxa" w:w="90"/>
            </w:tcMar>
            <w:vAlign w:val="center"/>
          </w:tcPr>
          <w:p>
            <w:pPr>
              <w:jc w:val="left"/>
            </w:pPr>
            <w:r>
              <w:rPr>
                <w:b w:val="false"/>
                <w:bCs w:val="false"/>
                <w:color w:val="000000"/>
                <w:sz w:val="16"/>
                <w:szCs w:val="16"/>
              </w:rPr>
              <w:t xml:space="preserve">1</w:t>
            </w:r>
          </w:p>
        </w:tc>
        <w:tc>
          <w:tcPr>
            <w:tcW w:type="dxa" w:w="1173"/>
            <w:tcMar>
              <w:top w:type="dxa" w:w="70"/>
              <w:left w:type="dxa" w:w="90"/>
              <w:bottom w:type="dxa" w:w="70"/>
              <w:right w:type="dxa" w:w="90"/>
            </w:tcMar>
            <w:vAlign w:val="center"/>
          </w:tcPr>
          <w:p>
            <w:pPr>
              <w:jc w:val="left"/>
            </w:pPr>
            <w:r>
              <w:rPr>
                <w:b w:val="false"/>
                <w:bCs w:val="false"/>
                <w:color w:val="000000"/>
                <w:sz w:val="16"/>
                <w:szCs w:val="16"/>
              </w:rPr>
              <w:t xml:space="preserve">SRH</w:t>
            </w:r>
          </w:p>
        </w:tc>
        <w:tc>
          <w:tcPr>
            <w:tcW w:type="dxa" w:w="1715"/>
            <w:tcMar>
              <w:top w:type="dxa" w:w="70"/>
              <w:left w:type="dxa" w:w="90"/>
              <w:bottom w:type="dxa" w:w="70"/>
              <w:right w:type="dxa" w:w="90"/>
            </w:tcMar>
            <w:vAlign w:val="center"/>
          </w:tcPr>
          <w:p>
            <w:pPr>
              <w:jc w:val="left"/>
            </w:pPr>
            <w:r>
              <w:rPr>
                <w:b w:val="false"/>
                <w:bCs w:val="false"/>
                <w:color w:val="000000"/>
                <w:sz w:val="16"/>
                <w:szCs w:val="16"/>
              </w:rPr>
              <w:t xml:space="preserve">§3, Tencent</w:t>
            </w:r>
          </w:p>
        </w:tc>
        <w:tc>
          <w:tcPr>
            <w:tcW w:type="dxa" w:w="4242"/>
            <w:tcMar>
              <w:top w:type="dxa" w:w="70"/>
              <w:left w:type="dxa" w:w="90"/>
              <w:bottom w:type="dxa" w:w="70"/>
              <w:right w:type="dxa" w:w="90"/>
            </w:tcMar>
            <w:vAlign w:val="center"/>
          </w:tcPr>
          <w:p>
            <w:pPr>
              <w:jc w:val="left"/>
            </w:pPr>
            <w:r>
              <w:rPr>
                <w:b w:val="false"/>
                <w:bCs w:val="false"/>
                <w:color w:val="000000"/>
                <w:sz w:val="16"/>
                <w:szCs w:val="16"/>
              </w:rPr>
              <w:t xml:space="preserve">Reword “0.431→0.232” to the two-episode path (2018; 2021–22)</w:t>
            </w:r>
          </w:p>
        </w:tc>
        <w:tc>
          <w:tcPr>
            <w:tcW w:type="dxa" w:w="1444"/>
            <w:tcMar>
              <w:top w:type="dxa" w:w="70"/>
              <w:left w:type="dxa" w:w="90"/>
              <w:bottom w:type="dxa" w:w="70"/>
              <w:right w:type="dxa" w:w="90"/>
            </w:tcMar>
            <w:vAlign w:val="center"/>
          </w:tcPr>
          <w:p>
            <w:pPr>
              <w:jc w:val="left"/>
            </w:pPr>
            <w:r>
              <w:rPr>
                <w:b w:val="false"/>
                <w:bCs w:val="false"/>
                <w:color w:val="000000"/>
                <w:sz w:val="16"/>
                <w:szCs w:val="16"/>
              </w:rPr>
              <w:t xml:space="preserve">Wording</w:t>
            </w:r>
          </w:p>
        </w:tc>
      </w:tr>
      <w:tr>
        <w:tc>
          <w:tcPr>
            <w:tcW w:type="dxa" w:w="451"/>
            <w:shd w:fill="F4F6F8" w:val="clear"/>
            <w:tcMar>
              <w:top w:type="dxa" w:w="70"/>
              <w:left w:type="dxa" w:w="90"/>
              <w:bottom w:type="dxa" w:w="70"/>
              <w:right w:type="dxa" w:w="90"/>
            </w:tcMar>
            <w:vAlign w:val="center"/>
          </w:tcPr>
          <w:p>
            <w:pPr>
              <w:jc w:val="left"/>
            </w:pPr>
            <w:r>
              <w:rPr>
                <w:b w:val="false"/>
                <w:bCs w:val="false"/>
                <w:color w:val="000000"/>
                <w:sz w:val="16"/>
                <w:szCs w:val="16"/>
              </w:rPr>
              <w:t xml:space="preserve">2</w:t>
            </w:r>
          </w:p>
        </w:tc>
        <w:tc>
          <w:tcPr>
            <w:tcW w:type="dxa" w:w="1173"/>
            <w:shd w:fill="F4F6F8" w:val="clear"/>
            <w:tcMar>
              <w:top w:type="dxa" w:w="70"/>
              <w:left w:type="dxa" w:w="90"/>
              <w:bottom w:type="dxa" w:w="70"/>
              <w:right w:type="dxa" w:w="90"/>
            </w:tcMar>
            <w:vAlign w:val="center"/>
          </w:tcPr>
          <w:p>
            <w:pPr>
              <w:jc w:val="left"/>
            </w:pPr>
            <w:r>
              <w:rPr>
                <w:b w:val="false"/>
                <w:bCs w:val="false"/>
                <w:color w:val="000000"/>
                <w:sz w:val="16"/>
                <w:szCs w:val="16"/>
              </w:rPr>
              <w:t xml:space="preserve">SRH</w:t>
            </w:r>
          </w:p>
        </w:tc>
        <w:tc>
          <w:tcPr>
            <w:tcW w:type="dxa" w:w="1715"/>
            <w:shd w:fill="F4F6F8" w:val="clear"/>
            <w:tcMar>
              <w:top w:type="dxa" w:w="70"/>
              <w:left w:type="dxa" w:w="90"/>
              <w:bottom w:type="dxa" w:w="70"/>
              <w:right w:type="dxa" w:w="90"/>
            </w:tcMar>
            <w:vAlign w:val="center"/>
          </w:tcPr>
          <w:p>
            <w:pPr>
              <w:jc w:val="left"/>
            </w:pPr>
            <w:r>
              <w:rPr>
                <w:b w:val="false"/>
                <w:bCs w:val="false"/>
                <w:color w:val="000000"/>
                <w:sz w:val="16"/>
                <w:szCs w:val="16"/>
              </w:rPr>
              <w:t xml:space="preserve">§2, inflation factor</w:t>
            </w:r>
          </w:p>
        </w:tc>
        <w:tc>
          <w:tcPr>
            <w:tcW w:type="dxa" w:w="4242"/>
            <w:shd w:fill="F4F6F8" w:val="clear"/>
            <w:tcMar>
              <w:top w:type="dxa" w:w="70"/>
              <w:left w:type="dxa" w:w="90"/>
              <w:bottom w:type="dxa" w:w="70"/>
              <w:right w:type="dxa" w:w="90"/>
            </w:tcMar>
            <w:vAlign w:val="center"/>
          </w:tcPr>
          <w:p>
            <w:pPr>
              <w:jc w:val="left"/>
            </w:pPr>
            <w:r>
              <w:rPr>
                <w:b w:val="false"/>
                <w:bCs w:val="false"/>
                <w:color w:val="000000"/>
                <w:sz w:val="16"/>
                <w:szCs w:val="16"/>
              </w:rPr>
              <w:t xml:space="preserve">“12×–112×” not reproducible; closest is 10.81×–111.07×</w:t>
            </w:r>
          </w:p>
        </w:tc>
        <w:tc>
          <w:tcPr>
            <w:tcW w:type="dxa" w:w="1444"/>
            <w:shd w:fill="F4F6F8" w:val="clear"/>
            <w:tcMar>
              <w:top w:type="dxa" w:w="70"/>
              <w:left w:type="dxa" w:w="90"/>
              <w:bottom w:type="dxa" w:w="70"/>
              <w:right w:type="dxa" w:w="90"/>
            </w:tcMar>
            <w:vAlign w:val="center"/>
          </w:tcPr>
          <w:p>
            <w:pPr>
              <w:jc w:val="left"/>
            </w:pPr>
            <w:r>
              <w:rPr>
                <w:b w:val="false"/>
                <w:bCs w:val="false"/>
                <w:color w:val="000000"/>
                <w:sz w:val="16"/>
                <w:szCs w:val="16"/>
              </w:rPr>
              <w:t xml:space="preserve">Precision</w:t>
            </w:r>
          </w:p>
        </w:tc>
      </w:tr>
      <w:tr>
        <w:tc>
          <w:tcPr>
            <w:tcW w:type="dxa" w:w="451"/>
            <w:tcMar>
              <w:top w:type="dxa" w:w="70"/>
              <w:left w:type="dxa" w:w="90"/>
              <w:bottom w:type="dxa" w:w="70"/>
              <w:right w:type="dxa" w:w="90"/>
            </w:tcMar>
            <w:vAlign w:val="center"/>
          </w:tcPr>
          <w:p>
            <w:pPr>
              <w:jc w:val="left"/>
            </w:pPr>
            <w:r>
              <w:rPr>
                <w:b w:val="false"/>
                <w:bCs w:val="false"/>
                <w:color w:val="000000"/>
                <w:sz w:val="16"/>
                <w:szCs w:val="16"/>
              </w:rPr>
              <w:t xml:space="preserve">3</w:t>
            </w:r>
          </w:p>
        </w:tc>
        <w:tc>
          <w:tcPr>
            <w:tcW w:type="dxa" w:w="1173"/>
            <w:tcMar>
              <w:top w:type="dxa" w:w="70"/>
              <w:left w:type="dxa" w:w="90"/>
              <w:bottom w:type="dxa" w:w="70"/>
              <w:right w:type="dxa" w:w="90"/>
            </w:tcMar>
            <w:vAlign w:val="center"/>
          </w:tcPr>
          <w:p>
            <w:pPr>
              <w:jc w:val="left"/>
            </w:pPr>
            <w:r>
              <w:rPr>
                <w:b w:val="false"/>
                <w:bCs w:val="false"/>
                <w:color w:val="000000"/>
                <w:sz w:val="16"/>
                <w:szCs w:val="16"/>
              </w:rPr>
              <w:t xml:space="preserve">SRH</w:t>
            </w:r>
          </w:p>
        </w:tc>
        <w:tc>
          <w:tcPr>
            <w:tcW w:type="dxa" w:w="1715"/>
            <w:tcMar>
              <w:top w:type="dxa" w:w="70"/>
              <w:left w:type="dxa" w:w="90"/>
              <w:bottom w:type="dxa" w:w="70"/>
              <w:right w:type="dxa" w:w="90"/>
            </w:tcMar>
            <w:vAlign w:val="center"/>
          </w:tcPr>
          <w:p>
            <w:pPr>
              <w:jc w:val="left"/>
            </w:pPr>
            <w:r>
              <w:rPr>
                <w:b w:val="false"/>
                <w:bCs w:val="false"/>
                <w:color w:val="000000"/>
                <w:sz w:val="16"/>
                <w:szCs w:val="16"/>
              </w:rPr>
              <w:t xml:space="preserve">§2, Wij</w:t>
            </w:r>
          </w:p>
        </w:tc>
        <w:tc>
          <w:tcPr>
            <w:tcW w:type="dxa" w:w="4242"/>
            <w:tcMar>
              <w:top w:type="dxa" w:w="70"/>
              <w:left w:type="dxa" w:w="90"/>
              <w:bottom w:type="dxa" w:w="70"/>
              <w:right w:type="dxa" w:w="90"/>
            </w:tcMar>
            <w:vAlign w:val="center"/>
          </w:tcPr>
          <w:p>
            <w:pPr>
              <w:jc w:val="left"/>
            </w:pPr>
            <w:r>
              <w:rPr>
                <w:b w:val="false"/>
                <w:bCs w:val="false"/>
                <w:color w:val="000000"/>
                <w:sz w:val="16"/>
                <w:szCs w:val="16"/>
              </w:rPr>
              <w:t xml:space="preserve">Note that complete-graph K8 bypasses the Mythic/Material partition</w:t>
            </w:r>
          </w:p>
        </w:tc>
        <w:tc>
          <w:tcPr>
            <w:tcW w:type="dxa" w:w="1444"/>
            <w:tcMar>
              <w:top w:type="dxa" w:w="70"/>
              <w:left w:type="dxa" w:w="90"/>
              <w:bottom w:type="dxa" w:w="70"/>
              <w:right w:type="dxa" w:w="90"/>
            </w:tcMar>
            <w:vAlign w:val="center"/>
          </w:tcPr>
          <w:p>
            <w:pPr>
              <w:jc w:val="left"/>
            </w:pPr>
            <w:r>
              <w:rPr>
                <w:b w:val="false"/>
                <w:bCs w:val="false"/>
                <w:color w:val="000000"/>
                <w:sz w:val="16"/>
                <w:szCs w:val="16"/>
              </w:rPr>
              <w:t xml:space="preserve">Scope note</w:t>
            </w:r>
          </w:p>
        </w:tc>
      </w:tr>
      <w:tr>
        <w:tc>
          <w:tcPr>
            <w:tcW w:type="dxa" w:w="451"/>
            <w:shd w:fill="F4F6F8" w:val="clear"/>
            <w:tcMar>
              <w:top w:type="dxa" w:w="70"/>
              <w:left w:type="dxa" w:w="90"/>
              <w:bottom w:type="dxa" w:w="70"/>
              <w:right w:type="dxa" w:w="90"/>
            </w:tcMar>
            <w:vAlign w:val="center"/>
          </w:tcPr>
          <w:p>
            <w:pPr>
              <w:jc w:val="left"/>
            </w:pPr>
            <w:r>
              <w:rPr>
                <w:b w:val="false"/>
                <w:bCs w:val="false"/>
                <w:color w:val="000000"/>
                <w:sz w:val="16"/>
                <w:szCs w:val="16"/>
              </w:rPr>
              <w:t xml:space="preserve">4</w:t>
            </w:r>
          </w:p>
        </w:tc>
        <w:tc>
          <w:tcPr>
            <w:tcW w:type="dxa" w:w="1173"/>
            <w:shd w:fill="F4F6F8" w:val="clear"/>
            <w:tcMar>
              <w:top w:type="dxa" w:w="70"/>
              <w:left w:type="dxa" w:w="90"/>
              <w:bottom w:type="dxa" w:w="70"/>
              <w:right w:type="dxa" w:w="90"/>
            </w:tcMar>
            <w:vAlign w:val="center"/>
          </w:tcPr>
          <w:p>
            <w:pPr>
              <w:jc w:val="left"/>
            </w:pPr>
            <w:r>
              <w:rPr>
                <w:b w:val="false"/>
                <w:bCs w:val="false"/>
                <w:color w:val="000000"/>
                <w:sz w:val="16"/>
                <w:szCs w:val="16"/>
              </w:rPr>
              <w:t xml:space="preserve">Portability</w:t>
            </w:r>
          </w:p>
        </w:tc>
        <w:tc>
          <w:tcPr>
            <w:tcW w:type="dxa" w:w="1715"/>
            <w:shd w:fill="F4F6F8" w:val="clear"/>
            <w:tcMar>
              <w:top w:type="dxa" w:w="70"/>
              <w:left w:type="dxa" w:w="90"/>
              <w:bottom w:type="dxa" w:w="70"/>
              <w:right w:type="dxa" w:w="90"/>
            </w:tcMar>
            <w:vAlign w:val="center"/>
          </w:tcPr>
          <w:p>
            <w:pPr>
              <w:jc w:val="left"/>
            </w:pPr>
            <w:r>
              <w:rPr>
                <w:b w:val="false"/>
                <w:bCs w:val="false"/>
                <w:color w:val="000000"/>
                <w:sz w:val="16"/>
                <w:szCs w:val="16"/>
              </w:rPr>
              <w:t xml:space="preserve">§3, F-P4.3</w:t>
            </w:r>
          </w:p>
        </w:tc>
        <w:tc>
          <w:tcPr>
            <w:tcW w:type="dxa" w:w="4242"/>
            <w:shd w:fill="F4F6F8" w:val="clear"/>
            <w:tcMar>
              <w:top w:type="dxa" w:w="70"/>
              <w:left w:type="dxa" w:w="90"/>
              <w:bottom w:type="dxa" w:w="70"/>
              <w:right w:type="dxa" w:w="90"/>
            </w:tcMar>
            <w:vAlign w:val="center"/>
          </w:tcPr>
          <w:p>
            <w:pPr>
              <w:jc w:val="left"/>
            </w:pPr>
            <w:r>
              <w:rPr>
                <w:b w:val="false"/>
                <w:bCs w:val="false"/>
                <w:color w:val="000000"/>
                <w:sz w:val="16"/>
                <w:szCs w:val="16"/>
              </w:rPr>
              <w:t xml:space="preserve">“NOT TRIGGERED (&lt;0.28)” contradicts the criterion's own &gt;0.20 threshold</w:t>
            </w:r>
          </w:p>
        </w:tc>
        <w:tc>
          <w:tcPr>
            <w:tcW w:type="dxa" w:w="1444"/>
            <w:shd w:fill="F4F6F8" w:val="clear"/>
            <w:tcMar>
              <w:top w:type="dxa" w:w="70"/>
              <w:left w:type="dxa" w:w="90"/>
              <w:bottom w:type="dxa" w:w="70"/>
              <w:right w:type="dxa" w:w="90"/>
            </w:tcMar>
            <w:vAlign w:val="center"/>
          </w:tcPr>
          <w:p>
            <w:pPr>
              <w:jc w:val="left"/>
            </w:pPr>
            <w:r>
              <w:rPr>
                <w:b w:val="false"/>
                <w:bCs w:val="false"/>
                <w:color w:val="000000"/>
                <w:sz w:val="16"/>
                <w:szCs w:val="16"/>
              </w:rPr>
              <w:t xml:space="preserve">Logic</w:t>
            </w:r>
          </w:p>
        </w:tc>
      </w:tr>
      <w:tr>
        <w:tc>
          <w:tcPr>
            <w:tcW w:type="dxa" w:w="451"/>
            <w:tcMar>
              <w:top w:type="dxa" w:w="70"/>
              <w:left w:type="dxa" w:w="90"/>
              <w:bottom w:type="dxa" w:w="70"/>
              <w:right w:type="dxa" w:w="90"/>
            </w:tcMar>
            <w:vAlign w:val="center"/>
          </w:tcPr>
          <w:p>
            <w:pPr>
              <w:jc w:val="left"/>
            </w:pPr>
            <w:r>
              <w:rPr>
                <w:b w:val="false"/>
                <w:bCs w:val="false"/>
                <w:color w:val="000000"/>
                <w:sz w:val="16"/>
                <w:szCs w:val="16"/>
              </w:rPr>
              <w:t xml:space="preserve">5</w:t>
            </w:r>
          </w:p>
        </w:tc>
        <w:tc>
          <w:tcPr>
            <w:tcW w:type="dxa" w:w="1173"/>
            <w:tcMar>
              <w:top w:type="dxa" w:w="70"/>
              <w:left w:type="dxa" w:w="90"/>
              <w:bottom w:type="dxa" w:w="70"/>
              <w:right w:type="dxa" w:w="90"/>
            </w:tcMar>
            <w:vAlign w:val="center"/>
          </w:tcPr>
          <w:p>
            <w:pPr>
              <w:jc w:val="left"/>
            </w:pPr>
            <w:r>
              <w:rPr>
                <w:b w:val="false"/>
                <w:bCs w:val="false"/>
                <w:color w:val="000000"/>
                <w:sz w:val="16"/>
                <w:szCs w:val="16"/>
              </w:rPr>
              <w:t xml:space="preserve">ηsoil</w:t>
            </w:r>
          </w:p>
        </w:tc>
        <w:tc>
          <w:tcPr>
            <w:tcW w:type="dxa" w:w="1715"/>
            <w:tcMar>
              <w:top w:type="dxa" w:w="70"/>
              <w:left w:type="dxa" w:w="90"/>
              <w:bottom w:type="dxa" w:w="70"/>
              <w:right w:type="dxa" w:w="90"/>
            </w:tcMar>
            <w:vAlign w:val="center"/>
          </w:tcPr>
          <w:p>
            <w:pPr>
              <w:jc w:val="left"/>
            </w:pPr>
            <w:r>
              <w:rPr>
                <w:b w:val="false"/>
                <w:bCs w:val="false"/>
                <w:color w:val="000000"/>
                <w:sz w:val="16"/>
                <w:szCs w:val="16"/>
              </w:rPr>
              <w:t xml:space="preserve">Table 1, Denmark P2</w:t>
            </w:r>
          </w:p>
        </w:tc>
        <w:tc>
          <w:tcPr>
            <w:tcW w:type="dxa" w:w="4242"/>
            <w:tcMar>
              <w:top w:type="dxa" w:w="70"/>
              <w:left w:type="dxa" w:w="90"/>
              <w:bottom w:type="dxa" w:w="70"/>
              <w:right w:type="dxa" w:w="90"/>
            </w:tcMar>
            <w:vAlign w:val="center"/>
          </w:tcPr>
          <w:p>
            <w:pPr>
              <w:jc w:val="left"/>
            </w:pPr>
            <w:r>
              <w:rPr>
                <w:b w:val="false"/>
                <w:bCs w:val="false"/>
                <w:color w:val="000000"/>
                <w:sz w:val="16"/>
                <w:szCs w:val="16"/>
              </w:rPr>
              <w:t xml:space="preserve">S_Hands range is 0.0–4.0, not “0–8”; ✗ inconsistent with the ≥ 3 rule</w:t>
            </w:r>
          </w:p>
        </w:tc>
        <w:tc>
          <w:tcPr>
            <w:tcW w:type="dxa" w:w="1444"/>
            <w:tcMar>
              <w:top w:type="dxa" w:w="70"/>
              <w:left w:type="dxa" w:w="90"/>
              <w:bottom w:type="dxa" w:w="70"/>
              <w:right w:type="dxa" w:w="90"/>
            </w:tcMar>
            <w:vAlign w:val="center"/>
          </w:tcPr>
          <w:p>
            <w:pPr>
              <w:jc w:val="left"/>
            </w:pPr>
            <w:r>
              <w:rPr>
                <w:b w:val="false"/>
                <w:bCs w:val="false"/>
                <w:color w:val="000000"/>
                <w:sz w:val="16"/>
                <w:szCs w:val="16"/>
              </w:rPr>
              <w:t xml:space="preserve">Data</w:t>
            </w:r>
          </w:p>
        </w:tc>
      </w:tr>
      <w:tr>
        <w:tc>
          <w:tcPr>
            <w:tcW w:type="dxa" w:w="451"/>
            <w:shd w:fill="F4F6F8" w:val="clear"/>
            <w:tcMar>
              <w:top w:type="dxa" w:w="70"/>
              <w:left w:type="dxa" w:w="90"/>
              <w:bottom w:type="dxa" w:w="70"/>
              <w:right w:type="dxa" w:w="90"/>
            </w:tcMar>
            <w:vAlign w:val="center"/>
          </w:tcPr>
          <w:p>
            <w:pPr>
              <w:jc w:val="left"/>
            </w:pPr>
            <w:r>
              <w:rPr>
                <w:b w:val="false"/>
                <w:bCs w:val="false"/>
                <w:color w:val="000000"/>
                <w:sz w:val="16"/>
                <w:szCs w:val="16"/>
              </w:rPr>
              <w:t xml:space="preserve">6</w:t>
            </w:r>
          </w:p>
        </w:tc>
        <w:tc>
          <w:tcPr>
            <w:tcW w:type="dxa" w:w="1173"/>
            <w:shd w:fill="F4F6F8" w:val="clear"/>
            <w:tcMar>
              <w:top w:type="dxa" w:w="70"/>
              <w:left w:type="dxa" w:w="90"/>
              <w:bottom w:type="dxa" w:w="70"/>
              <w:right w:type="dxa" w:w="90"/>
            </w:tcMar>
            <w:vAlign w:val="center"/>
          </w:tcPr>
          <w:p>
            <w:pPr>
              <w:jc w:val="left"/>
            </w:pPr>
            <w:r>
              <w:rPr>
                <w:b w:val="false"/>
                <w:bCs w:val="false"/>
                <w:color w:val="000000"/>
                <w:sz w:val="16"/>
                <w:szCs w:val="16"/>
              </w:rPr>
              <w:t xml:space="preserve">ηsoil</w:t>
            </w:r>
          </w:p>
        </w:tc>
        <w:tc>
          <w:tcPr>
            <w:tcW w:type="dxa" w:w="1715"/>
            <w:shd w:fill="F4F6F8" w:val="clear"/>
            <w:tcMar>
              <w:top w:type="dxa" w:w="70"/>
              <w:left w:type="dxa" w:w="90"/>
              <w:bottom w:type="dxa" w:w="70"/>
              <w:right w:type="dxa" w:w="90"/>
            </w:tcMar>
            <w:vAlign w:val="center"/>
          </w:tcPr>
          <w:p>
            <w:pPr>
              <w:jc w:val="left"/>
            </w:pPr>
            <w:r>
              <w:rPr>
                <w:b w:val="false"/>
                <w:bCs w:val="false"/>
                <w:color w:val="000000"/>
                <w:sz w:val="16"/>
                <w:szCs w:val="16"/>
              </w:rPr>
              <w:t xml:space="preserve">§4.3, China 2003</w:t>
            </w:r>
          </w:p>
        </w:tc>
        <w:tc>
          <w:tcPr>
            <w:tcW w:type="dxa" w:w="4242"/>
            <w:shd w:fill="F4F6F8" w:val="clear"/>
            <w:tcMar>
              <w:top w:type="dxa" w:w="70"/>
              <w:left w:type="dxa" w:w="90"/>
              <w:bottom w:type="dxa" w:w="70"/>
              <w:right w:type="dxa" w:w="90"/>
            </w:tcMar>
            <w:vAlign w:val="center"/>
          </w:tcPr>
          <w:p>
            <w:pPr>
              <w:jc w:val="left"/>
            </w:pPr>
            <w:r>
              <w:rPr>
                <w:b w:val="false"/>
                <w:bCs w:val="false"/>
                <w:color w:val="000000"/>
                <w:sz w:val="16"/>
                <w:szCs w:val="16"/>
              </w:rPr>
              <w:t xml:space="preserve">η=1.285 belongs to 1999; 2003 computes to 0.401</w:t>
            </w:r>
          </w:p>
        </w:tc>
        <w:tc>
          <w:tcPr>
            <w:tcW w:type="dxa" w:w="1444"/>
            <w:shd w:fill="F4F6F8" w:val="clear"/>
            <w:tcMar>
              <w:top w:type="dxa" w:w="70"/>
              <w:left w:type="dxa" w:w="90"/>
              <w:bottom w:type="dxa" w:w="70"/>
              <w:right w:type="dxa" w:w="90"/>
            </w:tcMar>
            <w:vAlign w:val="center"/>
          </w:tcPr>
          <w:p>
            <w:pPr>
              <w:jc w:val="left"/>
            </w:pPr>
            <w:r>
              <w:rPr>
                <w:b w:val="false"/>
                <w:bCs w:val="false"/>
                <w:color w:val="000000"/>
                <w:sz w:val="16"/>
                <w:szCs w:val="16"/>
              </w:rPr>
              <w:t xml:space="preserve">Year mislabel</w:t>
            </w:r>
          </w:p>
        </w:tc>
      </w:tr>
      <w:tr>
        <w:tc>
          <w:tcPr>
            <w:tcW w:type="dxa" w:w="451"/>
            <w:tcMar>
              <w:top w:type="dxa" w:w="70"/>
              <w:left w:type="dxa" w:w="90"/>
              <w:bottom w:type="dxa" w:w="70"/>
              <w:right w:type="dxa" w:w="90"/>
            </w:tcMar>
            <w:vAlign w:val="center"/>
          </w:tcPr>
          <w:p>
            <w:pPr>
              <w:jc w:val="left"/>
            </w:pPr>
            <w:r>
              <w:rPr>
                <w:b w:val="false"/>
                <w:bCs w:val="false"/>
                <w:color w:val="000000"/>
                <w:sz w:val="16"/>
                <w:szCs w:val="16"/>
              </w:rPr>
              <w:t xml:space="preserve">7</w:t>
            </w:r>
          </w:p>
        </w:tc>
        <w:tc>
          <w:tcPr>
            <w:tcW w:type="dxa" w:w="1173"/>
            <w:tcMar>
              <w:top w:type="dxa" w:w="70"/>
              <w:left w:type="dxa" w:w="90"/>
              <w:bottom w:type="dxa" w:w="70"/>
              <w:right w:type="dxa" w:w="90"/>
            </w:tcMar>
            <w:vAlign w:val="center"/>
          </w:tcPr>
          <w:p>
            <w:pPr>
              <w:jc w:val="left"/>
            </w:pPr>
            <w:r>
              <w:rPr>
                <w:b w:val="false"/>
                <w:bCs w:val="false"/>
                <w:color w:val="000000"/>
                <w:sz w:val="16"/>
                <w:szCs w:val="16"/>
              </w:rPr>
              <w:t xml:space="preserve">ηsoil</w:t>
            </w:r>
          </w:p>
        </w:tc>
        <w:tc>
          <w:tcPr>
            <w:tcW w:type="dxa" w:w="1715"/>
            <w:tcMar>
              <w:top w:type="dxa" w:w="70"/>
              <w:left w:type="dxa" w:w="90"/>
              <w:bottom w:type="dxa" w:w="70"/>
              <w:right w:type="dxa" w:w="90"/>
            </w:tcMar>
            <w:vAlign w:val="center"/>
          </w:tcPr>
          <w:p>
            <w:pPr>
              <w:jc w:val="left"/>
            </w:pPr>
            <w:r>
              <w:rPr>
                <w:b w:val="false"/>
                <w:bCs w:val="false"/>
                <w:color w:val="000000"/>
                <w:sz w:val="16"/>
                <w:szCs w:val="16"/>
              </w:rPr>
              <w:t xml:space="preserve">§4.3, Australia 1963</w:t>
            </w:r>
          </w:p>
        </w:tc>
        <w:tc>
          <w:tcPr>
            <w:tcW w:type="dxa" w:w="4242"/>
            <w:tcMar>
              <w:top w:type="dxa" w:w="70"/>
              <w:left w:type="dxa" w:w="90"/>
              <w:bottom w:type="dxa" w:w="70"/>
              <w:right w:type="dxa" w:w="90"/>
            </w:tcMar>
            <w:vAlign w:val="center"/>
          </w:tcPr>
          <w:p>
            <w:pPr>
              <w:jc w:val="left"/>
            </w:pPr>
            <w:r>
              <w:rPr>
                <w:b w:val="false"/>
                <w:bCs w:val="false"/>
                <w:color w:val="000000"/>
                <w:sz w:val="16"/>
                <w:szCs w:val="16"/>
              </w:rPr>
              <w:t xml:space="preserve">η is 0.234, not 0.263; 1911 (0.248) is the series maximum</w:t>
            </w:r>
          </w:p>
        </w:tc>
        <w:tc>
          <w:tcPr>
            <w:tcW w:type="dxa" w:w="1444"/>
            <w:tcMar>
              <w:top w:type="dxa" w:w="70"/>
              <w:left w:type="dxa" w:w="90"/>
              <w:bottom w:type="dxa" w:w="70"/>
              <w:right w:type="dxa" w:w="90"/>
            </w:tcMar>
            <w:vAlign w:val="center"/>
          </w:tcPr>
          <w:p>
            <w:pPr>
              <w:jc w:val="left"/>
            </w:pPr>
            <w:r>
              <w:rPr>
                <w:b w:val="false"/>
                <w:bCs w:val="false"/>
                <w:color w:val="000000"/>
                <w:sz w:val="16"/>
                <w:szCs w:val="16"/>
              </w:rPr>
              <w:t xml:space="preserve">Data</w:t>
            </w:r>
          </w:p>
        </w:tc>
      </w:tr>
      <w:tr>
        <w:tc>
          <w:tcPr>
            <w:tcW w:type="dxa" w:w="451"/>
            <w:shd w:fill="F4F6F8" w:val="clear"/>
            <w:tcMar>
              <w:top w:type="dxa" w:w="70"/>
              <w:left w:type="dxa" w:w="90"/>
              <w:bottom w:type="dxa" w:w="70"/>
              <w:right w:type="dxa" w:w="90"/>
            </w:tcMar>
            <w:vAlign w:val="center"/>
          </w:tcPr>
          <w:p>
            <w:pPr>
              <w:jc w:val="left"/>
            </w:pPr>
            <w:r>
              <w:rPr>
                <w:b w:val="false"/>
                <w:bCs w:val="false"/>
                <w:color w:val="000000"/>
                <w:sz w:val="16"/>
                <w:szCs w:val="16"/>
              </w:rPr>
              <w:t xml:space="preserve">8</w:t>
            </w:r>
          </w:p>
        </w:tc>
        <w:tc>
          <w:tcPr>
            <w:tcW w:type="dxa" w:w="1173"/>
            <w:shd w:fill="F4F6F8" w:val="clear"/>
            <w:tcMar>
              <w:top w:type="dxa" w:w="70"/>
              <w:left w:type="dxa" w:w="90"/>
              <w:bottom w:type="dxa" w:w="70"/>
              <w:right w:type="dxa" w:w="90"/>
            </w:tcMar>
            <w:vAlign w:val="center"/>
          </w:tcPr>
          <w:p>
            <w:pPr>
              <w:jc w:val="left"/>
            </w:pPr>
            <w:r>
              <w:rPr>
                <w:b w:val="false"/>
                <w:bCs w:val="false"/>
                <w:color w:val="000000"/>
                <w:sz w:val="16"/>
                <w:szCs w:val="16"/>
              </w:rPr>
              <w:t xml:space="preserve">ηsoil</w:t>
            </w:r>
          </w:p>
        </w:tc>
        <w:tc>
          <w:tcPr>
            <w:tcW w:type="dxa" w:w="1715"/>
            <w:shd w:fill="F4F6F8" w:val="clear"/>
            <w:tcMar>
              <w:top w:type="dxa" w:w="70"/>
              <w:left w:type="dxa" w:w="90"/>
              <w:bottom w:type="dxa" w:w="70"/>
              <w:right w:type="dxa" w:w="90"/>
            </w:tcMar>
            <w:vAlign w:val="center"/>
          </w:tcPr>
          <w:p>
            <w:pPr>
              <w:jc w:val="left"/>
            </w:pPr>
            <w:r>
              <w:rPr>
                <w:b w:val="false"/>
                <w:bCs w:val="false"/>
                <w:color w:val="000000"/>
                <w:sz w:val="16"/>
                <w:szCs w:val="16"/>
              </w:rPr>
              <w:t xml:space="preserve">§4.5, Iran 1979</w:t>
            </w:r>
          </w:p>
        </w:tc>
        <w:tc>
          <w:tcPr>
            <w:tcW w:type="dxa" w:w="4242"/>
            <w:shd w:fill="F4F6F8" w:val="clear"/>
            <w:tcMar>
              <w:top w:type="dxa" w:w="70"/>
              <w:left w:type="dxa" w:w="90"/>
              <w:bottom w:type="dxa" w:w="70"/>
              <w:right w:type="dxa" w:w="90"/>
            </w:tcMar>
            <w:vAlign w:val="center"/>
          </w:tcPr>
          <w:p>
            <w:pPr>
              <w:jc w:val="left"/>
            </w:pPr>
            <w:r>
              <w:rPr>
                <w:b w:val="false"/>
                <w:bCs w:val="false"/>
                <w:color w:val="000000"/>
                <w:sz w:val="16"/>
                <w:szCs w:val="16"/>
              </w:rPr>
              <w:t xml:space="preserve">V̄=0.06, σV=2.04, η=0.0027 — not the cited −1.0 / 3.51 / 0.001</w:t>
            </w:r>
          </w:p>
        </w:tc>
        <w:tc>
          <w:tcPr>
            <w:tcW w:type="dxa" w:w="1444"/>
            <w:shd w:fill="F4F6F8" w:val="clear"/>
            <w:tcMar>
              <w:top w:type="dxa" w:w="70"/>
              <w:left w:type="dxa" w:w="90"/>
              <w:bottom w:type="dxa" w:w="70"/>
              <w:right w:type="dxa" w:w="90"/>
            </w:tcMar>
            <w:vAlign w:val="center"/>
          </w:tcPr>
          <w:p>
            <w:pPr>
              <w:jc w:val="left"/>
            </w:pPr>
            <w:r>
              <w:rPr>
                <w:b w:val="false"/>
                <w:bCs w:val="false"/>
                <w:color w:val="000000"/>
                <w:sz w:val="16"/>
                <w:szCs w:val="16"/>
              </w:rPr>
              <w:t xml:space="preserve">Data</w:t>
            </w:r>
          </w:p>
        </w:tc>
      </w:tr>
    </w:tbl>
    <w:p>
      <w:pPr>
        <w:spacing w:after="300" w:before="80"/>
        <w:jc w:val="center"/>
      </w:pPr>
      <w:r>
        <w:rPr>
          <w:i/>
          <w:iCs/>
          <w:color w:val="555555"/>
          <w:sz w:val="18"/>
          <w:szCs w:val="18"/>
        </w:rPr>
        <w:t xml:space="preserve">Table 7 — Errata identified in v1.</w:t>
      </w:r>
    </w:p>
    <w:tbl>
      <w:tblPr>
        <w:tblW w:type="dxa" w:w="9026"/>
        <w:tblBorders>
          <w:top w:val="single" w:color="999999" w:sz="4"/>
          <w:left w:val="single" w:color="999999" w:sz="4"/>
          <w:bottom w:val="single" w:color="999999" w:sz="4"/>
          <w:right w:val="single" w:color="999999" w:sz="4"/>
          <w:insideH w:val="single" w:color="CCCCCC" w:sz="2"/>
          <w:insideV w:val="single" w:color="CCCCCC" w:sz="2"/>
        </w:tblBorders>
      </w:tblPr>
      <w:tblGrid>
        <w:gridCol w:w="451"/>
        <w:gridCol w:w="903"/>
        <w:gridCol w:w="1354"/>
        <w:gridCol w:w="4874"/>
        <w:gridCol w:w="1444"/>
      </w:tblGrid>
      <w:tr>
        <w:trPr>
          <w:tblHeader/>
        </w:trPr>
        <w:tc>
          <w:tcPr>
            <w:tcW w:type="dxa" w:w="451"/>
            <w:shd w:fill="2F3E4E" w:val="clear"/>
            <w:tcMar>
              <w:top w:type="dxa" w:w="70"/>
              <w:left w:type="dxa" w:w="90"/>
              <w:bottom w:type="dxa" w:w="70"/>
              <w:right w:type="dxa" w:w="90"/>
            </w:tcMar>
            <w:vAlign w:val="center"/>
          </w:tcPr>
          <w:p>
            <w:pPr>
              <w:jc w:val="center"/>
            </w:pPr>
            <w:r>
              <w:rPr>
                <w:b/>
                <w:bCs/>
                <w:color w:val="FFFFFF"/>
                <w:sz w:val="16"/>
                <w:szCs w:val="16"/>
              </w:rPr>
              <w:t xml:space="preserve">#</w:t>
            </w:r>
          </w:p>
        </w:tc>
        <w:tc>
          <w:tcPr>
            <w:tcW w:type="dxa" w:w="903"/>
            <w:shd w:fill="2F3E4E" w:val="clear"/>
            <w:tcMar>
              <w:top w:type="dxa" w:w="70"/>
              <w:left w:type="dxa" w:w="90"/>
              <w:bottom w:type="dxa" w:w="70"/>
              <w:right w:type="dxa" w:w="90"/>
            </w:tcMar>
            <w:vAlign w:val="center"/>
          </w:tcPr>
          <w:p>
            <w:pPr>
              <w:jc w:val="center"/>
            </w:pPr>
            <w:r>
              <w:rPr>
                <w:b/>
                <w:bCs/>
                <w:color w:val="FFFFFF"/>
                <w:sz w:val="16"/>
                <w:szCs w:val="16"/>
              </w:rPr>
              <w:t xml:space="preserve">Paper</w:t>
            </w:r>
          </w:p>
        </w:tc>
        <w:tc>
          <w:tcPr>
            <w:tcW w:type="dxa" w:w="1354"/>
            <w:shd w:fill="2F3E4E" w:val="clear"/>
            <w:tcMar>
              <w:top w:type="dxa" w:w="70"/>
              <w:left w:type="dxa" w:w="90"/>
              <w:bottom w:type="dxa" w:w="70"/>
              <w:right w:type="dxa" w:w="90"/>
            </w:tcMar>
            <w:vAlign w:val="center"/>
          </w:tcPr>
          <w:p>
            <w:pPr>
              <w:jc w:val="center"/>
            </w:pPr>
            <w:r>
              <w:rPr>
                <w:b/>
                <w:bCs/>
                <w:color w:val="FFFFFF"/>
                <w:sz w:val="16"/>
                <w:szCs w:val="16"/>
              </w:rPr>
              <w:t xml:space="preserve">Location</w:t>
            </w:r>
          </w:p>
        </w:tc>
        <w:tc>
          <w:tcPr>
            <w:tcW w:type="dxa" w:w="4874"/>
            <w:shd w:fill="2F3E4E" w:val="clear"/>
            <w:tcMar>
              <w:top w:type="dxa" w:w="70"/>
              <w:left w:type="dxa" w:w="90"/>
              <w:bottom w:type="dxa" w:w="70"/>
              <w:right w:type="dxa" w:w="90"/>
            </w:tcMar>
            <w:vAlign w:val="center"/>
          </w:tcPr>
          <w:p>
            <w:pPr>
              <w:jc w:val="center"/>
            </w:pPr>
            <w:r>
              <w:rPr>
                <w:b/>
                <w:bCs/>
                <w:color w:val="FFFFFF"/>
                <w:sz w:val="16"/>
                <w:szCs w:val="16"/>
              </w:rPr>
              <w:t xml:space="preserve">Correction</w:t>
            </w:r>
          </w:p>
        </w:tc>
        <w:tc>
          <w:tcPr>
            <w:tcW w:type="dxa" w:w="1444"/>
            <w:shd w:fill="2F3E4E" w:val="clear"/>
            <w:tcMar>
              <w:top w:type="dxa" w:w="70"/>
              <w:left w:type="dxa" w:w="90"/>
              <w:bottom w:type="dxa" w:w="70"/>
              <w:right w:type="dxa" w:w="90"/>
            </w:tcMar>
            <w:vAlign w:val="center"/>
          </w:tcPr>
          <w:p>
            <w:pPr>
              <w:jc w:val="center"/>
            </w:pPr>
            <w:r>
              <w:rPr>
                <w:b/>
                <w:bCs/>
                <w:color w:val="FFFFFF"/>
                <w:sz w:val="16"/>
                <w:szCs w:val="16"/>
              </w:rPr>
              <w:t xml:space="preserve">Type</w:t>
            </w:r>
          </w:p>
        </w:tc>
      </w:tr>
      <w:tr>
        <w:tc>
          <w:tcPr>
            <w:tcW w:type="dxa" w:w="451"/>
            <w:tcMar>
              <w:top w:type="dxa" w:w="70"/>
              <w:left w:type="dxa" w:w="90"/>
              <w:bottom w:type="dxa" w:w="70"/>
              <w:right w:type="dxa" w:w="90"/>
            </w:tcMar>
            <w:vAlign w:val="center"/>
          </w:tcPr>
          <w:p>
            <w:pPr>
              <w:jc w:val="left"/>
            </w:pPr>
            <w:r>
              <w:rPr>
                <w:b w:val="false"/>
                <w:bCs w:val="false"/>
                <w:color w:val="000000"/>
                <w:sz w:val="16"/>
                <w:szCs w:val="16"/>
              </w:rPr>
              <w:t xml:space="preserve">9</w:t>
            </w:r>
          </w:p>
        </w:tc>
        <w:tc>
          <w:tcPr>
            <w:tcW w:type="dxa" w:w="903"/>
            <w:tcMar>
              <w:top w:type="dxa" w:w="70"/>
              <w:left w:type="dxa" w:w="90"/>
              <w:bottom w:type="dxa" w:w="70"/>
              <w:right w:type="dxa" w:w="90"/>
            </w:tcMar>
            <w:vAlign w:val="center"/>
          </w:tcPr>
          <w:p>
            <w:pPr>
              <w:jc w:val="left"/>
            </w:pPr>
            <w:r>
              <w:rPr>
                <w:b w:val="false"/>
                <w:bCs w:val="false"/>
                <w:color w:val="000000"/>
                <w:sz w:val="16"/>
                <w:szCs w:val="16"/>
              </w:rPr>
              <w:t xml:space="preserve">ηsoil</w:t>
            </w:r>
          </w:p>
        </w:tc>
        <w:tc>
          <w:tcPr>
            <w:tcW w:type="dxa" w:w="1354"/>
            <w:tcMar>
              <w:top w:type="dxa" w:w="70"/>
              <w:left w:type="dxa" w:w="90"/>
              <w:bottom w:type="dxa" w:w="70"/>
              <w:right w:type="dxa" w:w="90"/>
            </w:tcMar>
            <w:vAlign w:val="center"/>
          </w:tcPr>
          <w:p>
            <w:pPr>
              <w:jc w:val="left"/>
            </w:pPr>
            <w:r>
              <w:rPr>
                <w:b w:val="false"/>
                <w:bCs w:val="false"/>
                <w:color w:val="000000"/>
                <w:sz w:val="16"/>
                <w:szCs w:val="16"/>
              </w:rPr>
              <w:t xml:space="preserve">Table 2</w:t>
            </w:r>
          </w:p>
        </w:tc>
        <w:tc>
          <w:tcPr>
            <w:tcW w:type="dxa" w:w="4874"/>
            <w:tcMar>
              <w:top w:type="dxa" w:w="70"/>
              <w:left w:type="dxa" w:w="90"/>
              <w:bottom w:type="dxa" w:w="70"/>
              <w:right w:type="dxa" w:w="90"/>
            </w:tcMar>
            <w:vAlign w:val="center"/>
          </w:tcPr>
          <w:p>
            <w:pPr>
              <w:jc w:val="left"/>
            </w:pPr>
            <w:r>
              <w:rPr>
                <w:b w:val="false"/>
                <w:bCs w:val="false"/>
                <w:color w:val="000000"/>
                <w:sz w:val="16"/>
                <w:szCs w:val="16"/>
              </w:rPr>
              <w:t xml:space="preserve">Regenerate: reported η t-statistics match neither Student nor Welch. State test type, df and group sizes</w:t>
            </w:r>
          </w:p>
        </w:tc>
        <w:tc>
          <w:tcPr>
            <w:tcW w:type="dxa" w:w="1444"/>
            <w:tcMar>
              <w:top w:type="dxa" w:w="70"/>
              <w:left w:type="dxa" w:w="90"/>
              <w:bottom w:type="dxa" w:w="70"/>
              <w:right w:type="dxa" w:w="90"/>
            </w:tcMar>
            <w:vAlign w:val="center"/>
          </w:tcPr>
          <w:p>
            <w:pPr>
              <w:jc w:val="left"/>
            </w:pPr>
            <w:r>
              <w:rPr>
                <w:b w:val="false"/>
                <w:bCs w:val="false"/>
                <w:color w:val="000000"/>
                <w:sz w:val="16"/>
                <w:szCs w:val="16"/>
              </w:rPr>
              <w:t xml:space="preserve">Statistical</w:t>
            </w:r>
          </w:p>
        </w:tc>
      </w:tr>
      <w:tr>
        <w:tc>
          <w:tcPr>
            <w:tcW w:type="dxa" w:w="451"/>
            <w:shd w:fill="F4F6F8" w:val="clear"/>
            <w:tcMar>
              <w:top w:type="dxa" w:w="70"/>
              <w:left w:type="dxa" w:w="90"/>
              <w:bottom w:type="dxa" w:w="70"/>
              <w:right w:type="dxa" w:w="90"/>
            </w:tcMar>
            <w:vAlign w:val="center"/>
          </w:tcPr>
          <w:p>
            <w:pPr>
              <w:jc w:val="left"/>
            </w:pPr>
            <w:r>
              <w:rPr>
                <w:b w:val="false"/>
                <w:bCs w:val="false"/>
                <w:color w:val="000000"/>
                <w:sz w:val="16"/>
                <w:szCs w:val="16"/>
              </w:rPr>
              <w:t xml:space="preserve">10</w:t>
            </w:r>
          </w:p>
        </w:tc>
        <w:tc>
          <w:tcPr>
            <w:tcW w:type="dxa" w:w="903"/>
            <w:shd w:fill="F4F6F8" w:val="clear"/>
            <w:tcMar>
              <w:top w:type="dxa" w:w="70"/>
              <w:left w:type="dxa" w:w="90"/>
              <w:bottom w:type="dxa" w:w="70"/>
              <w:right w:type="dxa" w:w="90"/>
            </w:tcMar>
            <w:vAlign w:val="center"/>
          </w:tcPr>
          <w:p>
            <w:pPr>
              <w:jc w:val="left"/>
            </w:pPr>
            <w:r>
              <w:rPr>
                <w:b w:val="false"/>
                <w:bCs w:val="false"/>
                <w:color w:val="000000"/>
                <w:sz w:val="16"/>
                <w:szCs w:val="16"/>
              </w:rPr>
              <w:t xml:space="preserve">ηsoil</w:t>
            </w:r>
          </w:p>
        </w:tc>
        <w:tc>
          <w:tcPr>
            <w:tcW w:type="dxa" w:w="1354"/>
            <w:shd w:fill="F4F6F8" w:val="clear"/>
            <w:tcMar>
              <w:top w:type="dxa" w:w="70"/>
              <w:left w:type="dxa" w:w="90"/>
              <w:bottom w:type="dxa" w:w="70"/>
              <w:right w:type="dxa" w:w="90"/>
            </w:tcMar>
            <w:vAlign w:val="center"/>
          </w:tcPr>
          <w:p>
            <w:pPr>
              <w:jc w:val="left"/>
            </w:pPr>
            <w:r>
              <w:rPr>
                <w:b w:val="false"/>
                <w:bCs w:val="false"/>
                <w:color w:val="000000"/>
                <w:sz w:val="16"/>
                <w:szCs w:val="16"/>
              </w:rPr>
              <w:t xml:space="preserve">§4.2</w:t>
            </w:r>
          </w:p>
        </w:tc>
        <w:tc>
          <w:tcPr>
            <w:tcW w:type="dxa" w:w="4874"/>
            <w:shd w:fill="F4F6F8" w:val="clear"/>
            <w:tcMar>
              <w:top w:type="dxa" w:w="70"/>
              <w:left w:type="dxa" w:w="90"/>
              <w:bottom w:type="dxa" w:w="70"/>
              <w:right w:type="dxa" w:w="90"/>
            </w:tcMar>
            <w:vAlign w:val="center"/>
          </w:tcPr>
          <w:p>
            <w:pPr>
              <w:jc w:val="left"/>
            </w:pPr>
            <w:r>
              <w:rPr>
                <w:b w:val="false"/>
                <w:bCs w:val="false"/>
                <w:color w:val="000000"/>
                <w:sz w:val="16"/>
                <w:szCs w:val="16"/>
              </w:rPr>
              <w:t xml:space="preserve">Remove “all three USA crisis years occupy the bottom decile.” Ranks are 1st, 4th and 22nd of 31</w:t>
            </w:r>
          </w:p>
        </w:tc>
        <w:tc>
          <w:tcPr>
            <w:tcW w:type="dxa" w:w="1444"/>
            <w:shd w:fill="F4F6F8" w:val="clear"/>
            <w:tcMar>
              <w:top w:type="dxa" w:w="70"/>
              <w:left w:type="dxa" w:w="90"/>
              <w:bottom w:type="dxa" w:w="70"/>
              <w:right w:type="dxa" w:w="90"/>
            </w:tcMar>
            <w:vAlign w:val="center"/>
          </w:tcPr>
          <w:p>
            <w:pPr>
              <w:jc w:val="left"/>
            </w:pPr>
            <w:r>
              <w:rPr>
                <w:b w:val="false"/>
                <w:bCs w:val="false"/>
                <w:color w:val="000000"/>
                <w:sz w:val="16"/>
                <w:szCs w:val="16"/>
              </w:rPr>
              <w:t xml:space="preserve">Data</w:t>
            </w:r>
          </w:p>
        </w:tc>
      </w:tr>
      <w:tr>
        <w:tc>
          <w:tcPr>
            <w:tcW w:type="dxa" w:w="451"/>
            <w:tcMar>
              <w:top w:type="dxa" w:w="70"/>
              <w:left w:type="dxa" w:w="90"/>
              <w:bottom w:type="dxa" w:w="70"/>
              <w:right w:type="dxa" w:w="90"/>
            </w:tcMar>
            <w:vAlign w:val="center"/>
          </w:tcPr>
          <w:p>
            <w:pPr>
              <w:jc w:val="left"/>
            </w:pPr>
            <w:r>
              <w:rPr>
                <w:b w:val="false"/>
                <w:bCs w:val="false"/>
                <w:color w:val="000000"/>
                <w:sz w:val="16"/>
                <w:szCs w:val="16"/>
              </w:rPr>
              <w:t xml:space="preserve">11</w:t>
            </w:r>
          </w:p>
        </w:tc>
        <w:tc>
          <w:tcPr>
            <w:tcW w:type="dxa" w:w="903"/>
            <w:tcMar>
              <w:top w:type="dxa" w:w="70"/>
              <w:left w:type="dxa" w:w="90"/>
              <w:bottom w:type="dxa" w:w="70"/>
              <w:right w:type="dxa" w:w="90"/>
            </w:tcMar>
            <w:vAlign w:val="center"/>
          </w:tcPr>
          <w:p>
            <w:pPr>
              <w:jc w:val="left"/>
            </w:pPr>
            <w:r>
              <w:rPr>
                <w:b w:val="false"/>
                <w:bCs w:val="false"/>
                <w:color w:val="000000"/>
                <w:sz w:val="16"/>
                <w:szCs w:val="16"/>
              </w:rPr>
              <w:t xml:space="preserve">ηsoil</w:t>
            </w:r>
          </w:p>
        </w:tc>
        <w:tc>
          <w:tcPr>
            <w:tcW w:type="dxa" w:w="1354"/>
            <w:tcMar>
              <w:top w:type="dxa" w:w="70"/>
              <w:left w:type="dxa" w:w="90"/>
              <w:bottom w:type="dxa" w:w="70"/>
              <w:right w:type="dxa" w:w="90"/>
            </w:tcMar>
            <w:vAlign w:val="center"/>
          </w:tcPr>
          <w:p>
            <w:pPr>
              <w:jc w:val="left"/>
            </w:pPr>
            <w:r>
              <w:rPr>
                <w:b w:val="false"/>
                <w:bCs w:val="false"/>
                <w:color w:val="000000"/>
                <w:sz w:val="16"/>
                <w:szCs w:val="16"/>
              </w:rPr>
              <w:t xml:space="preserve">§5.4</w:t>
            </w:r>
          </w:p>
        </w:tc>
        <w:tc>
          <w:tcPr>
            <w:tcW w:type="dxa" w:w="4874"/>
            <w:tcMar>
              <w:top w:type="dxa" w:w="70"/>
              <w:left w:type="dxa" w:w="90"/>
              <w:bottom w:type="dxa" w:w="70"/>
              <w:right w:type="dxa" w:w="90"/>
            </w:tcMar>
            <w:vAlign w:val="center"/>
          </w:tcPr>
          <w:p>
            <w:pPr>
              <w:jc w:val="left"/>
            </w:pPr>
            <w:r>
              <w:rPr>
                <w:b w:val="false"/>
                <w:bCs w:val="false"/>
                <w:color w:val="000000"/>
                <w:sz w:val="16"/>
                <w:szCs w:val="16"/>
              </w:rPr>
              <w:t xml:space="preserve">Australia r(η,V̄) is 0.651, not “above 0.82” (USA is 0.871)</w:t>
            </w:r>
          </w:p>
        </w:tc>
        <w:tc>
          <w:tcPr>
            <w:tcW w:type="dxa" w:w="1444"/>
            <w:tcMar>
              <w:top w:type="dxa" w:w="70"/>
              <w:left w:type="dxa" w:w="90"/>
              <w:bottom w:type="dxa" w:w="70"/>
              <w:right w:type="dxa" w:w="90"/>
            </w:tcMar>
            <w:vAlign w:val="center"/>
          </w:tcPr>
          <w:p>
            <w:pPr>
              <w:jc w:val="left"/>
            </w:pPr>
            <w:r>
              <w:rPr>
                <w:b w:val="false"/>
                <w:bCs w:val="false"/>
                <w:color w:val="000000"/>
                <w:sz w:val="16"/>
                <w:szCs w:val="16"/>
              </w:rPr>
              <w:t xml:space="preserve">Data</w:t>
            </w:r>
          </w:p>
        </w:tc>
      </w:tr>
      <w:tr>
        <w:tc>
          <w:tcPr>
            <w:tcW w:type="dxa" w:w="451"/>
            <w:shd w:fill="F4F6F8" w:val="clear"/>
            <w:tcMar>
              <w:top w:type="dxa" w:w="70"/>
              <w:left w:type="dxa" w:w="90"/>
              <w:bottom w:type="dxa" w:w="70"/>
              <w:right w:type="dxa" w:w="90"/>
            </w:tcMar>
            <w:vAlign w:val="center"/>
          </w:tcPr>
          <w:p>
            <w:pPr>
              <w:jc w:val="left"/>
            </w:pPr>
            <w:r>
              <w:rPr>
                <w:b w:val="false"/>
                <w:bCs w:val="false"/>
                <w:color w:val="000000"/>
                <w:sz w:val="16"/>
                <w:szCs w:val="16"/>
              </w:rPr>
              <w:t xml:space="preserve">12</w:t>
            </w:r>
          </w:p>
        </w:tc>
        <w:tc>
          <w:tcPr>
            <w:tcW w:type="dxa" w:w="903"/>
            <w:shd w:fill="F4F6F8" w:val="clear"/>
            <w:tcMar>
              <w:top w:type="dxa" w:w="70"/>
              <w:left w:type="dxa" w:w="90"/>
              <w:bottom w:type="dxa" w:w="70"/>
              <w:right w:type="dxa" w:w="90"/>
            </w:tcMar>
            <w:vAlign w:val="center"/>
          </w:tcPr>
          <w:p>
            <w:pPr>
              <w:jc w:val="left"/>
            </w:pPr>
            <w:r>
              <w:rPr>
                <w:b w:val="false"/>
                <w:bCs w:val="false"/>
                <w:color w:val="000000"/>
                <w:sz w:val="16"/>
                <w:szCs w:val="16"/>
              </w:rPr>
              <w:t xml:space="preserve">ηsoil</w:t>
            </w:r>
          </w:p>
        </w:tc>
        <w:tc>
          <w:tcPr>
            <w:tcW w:type="dxa" w:w="1354"/>
            <w:shd w:fill="F4F6F8" w:val="clear"/>
            <w:tcMar>
              <w:top w:type="dxa" w:w="70"/>
              <w:left w:type="dxa" w:w="90"/>
              <w:bottom w:type="dxa" w:w="70"/>
              <w:right w:type="dxa" w:w="90"/>
            </w:tcMar>
            <w:vAlign w:val="center"/>
          </w:tcPr>
          <w:p>
            <w:pPr>
              <w:jc w:val="left"/>
            </w:pPr>
            <w:r>
              <w:rPr>
                <w:b w:val="false"/>
                <w:bCs w:val="false"/>
                <w:color w:val="000000"/>
                <w:sz w:val="16"/>
                <w:szCs w:val="16"/>
              </w:rPr>
              <w:t xml:space="preserve">§5.4</w:t>
            </w:r>
          </w:p>
        </w:tc>
        <w:tc>
          <w:tcPr>
            <w:tcW w:type="dxa" w:w="4874"/>
            <w:shd w:fill="F4F6F8" w:val="clear"/>
            <w:tcMar>
              <w:top w:type="dxa" w:w="70"/>
              <w:left w:type="dxa" w:w="90"/>
              <w:bottom w:type="dxa" w:w="70"/>
              <w:right w:type="dxa" w:w="90"/>
            </w:tcMar>
            <w:vAlign w:val="center"/>
          </w:tcPr>
          <w:p>
            <w:pPr>
              <w:jc w:val="left"/>
            </w:pPr>
            <w:r>
              <w:rPr>
                <w:b w:val="false"/>
                <w:bCs w:val="false"/>
                <w:color w:val="000000"/>
                <w:sz w:val="16"/>
                <w:szCs w:val="16"/>
              </w:rPr>
              <w:t xml:space="preserve">Australia mean S_Hands is 7.252 overall (7.035 stable, 8.611 crisis), not 7.81</w:t>
            </w:r>
          </w:p>
        </w:tc>
        <w:tc>
          <w:tcPr>
            <w:tcW w:type="dxa" w:w="1444"/>
            <w:shd w:fill="F4F6F8" w:val="clear"/>
            <w:tcMar>
              <w:top w:type="dxa" w:w="70"/>
              <w:left w:type="dxa" w:w="90"/>
              <w:bottom w:type="dxa" w:w="70"/>
              <w:right w:type="dxa" w:w="90"/>
            </w:tcMar>
            <w:vAlign w:val="center"/>
          </w:tcPr>
          <w:p>
            <w:pPr>
              <w:jc w:val="left"/>
            </w:pPr>
            <w:r>
              <w:rPr>
                <w:b w:val="false"/>
                <w:bCs w:val="false"/>
                <w:color w:val="000000"/>
                <w:sz w:val="16"/>
                <w:szCs w:val="16"/>
              </w:rPr>
              <w:t xml:space="preserve">Data</w:t>
            </w:r>
          </w:p>
        </w:tc>
      </w:tr>
      <w:tr>
        <w:tc>
          <w:tcPr>
            <w:tcW w:type="dxa" w:w="451"/>
            <w:tcMar>
              <w:top w:type="dxa" w:w="70"/>
              <w:left w:type="dxa" w:w="90"/>
              <w:bottom w:type="dxa" w:w="70"/>
              <w:right w:type="dxa" w:w="90"/>
            </w:tcMar>
            <w:vAlign w:val="center"/>
          </w:tcPr>
          <w:p>
            <w:pPr>
              <w:jc w:val="left"/>
            </w:pPr>
            <w:r>
              <w:rPr>
                <w:b w:val="false"/>
                <w:bCs w:val="false"/>
                <w:color w:val="000000"/>
                <w:sz w:val="16"/>
                <w:szCs w:val="16"/>
              </w:rPr>
              <w:t xml:space="preserve">13</w:t>
            </w:r>
          </w:p>
        </w:tc>
        <w:tc>
          <w:tcPr>
            <w:tcW w:type="dxa" w:w="903"/>
            <w:tcMar>
              <w:top w:type="dxa" w:w="70"/>
              <w:left w:type="dxa" w:w="90"/>
              <w:bottom w:type="dxa" w:w="70"/>
              <w:right w:type="dxa" w:w="90"/>
            </w:tcMar>
            <w:vAlign w:val="center"/>
          </w:tcPr>
          <w:p>
            <w:pPr>
              <w:jc w:val="left"/>
            </w:pPr>
            <w:r>
              <w:rPr>
                <w:b w:val="false"/>
                <w:bCs w:val="false"/>
                <w:color w:val="000000"/>
                <w:sz w:val="16"/>
                <w:szCs w:val="16"/>
              </w:rPr>
              <w:t xml:space="preserve">ηsoil</w:t>
            </w:r>
          </w:p>
        </w:tc>
        <w:tc>
          <w:tcPr>
            <w:tcW w:type="dxa" w:w="1354"/>
            <w:tcMar>
              <w:top w:type="dxa" w:w="70"/>
              <w:left w:type="dxa" w:w="90"/>
              <w:bottom w:type="dxa" w:w="70"/>
              <w:right w:type="dxa" w:w="90"/>
            </w:tcMar>
            <w:vAlign w:val="center"/>
          </w:tcPr>
          <w:p>
            <w:pPr>
              <w:jc w:val="left"/>
            </w:pPr>
            <w:r>
              <w:rPr>
                <w:b w:val="false"/>
                <w:bCs w:val="false"/>
                <w:color w:val="000000"/>
                <w:sz w:val="16"/>
                <w:szCs w:val="16"/>
              </w:rPr>
              <w:t xml:space="preserve">§4.4, Regime A</w:t>
            </w:r>
          </w:p>
        </w:tc>
        <w:tc>
          <w:tcPr>
            <w:tcW w:type="dxa" w:w="4874"/>
            <w:tcMar>
              <w:top w:type="dxa" w:w="70"/>
              <w:left w:type="dxa" w:w="90"/>
              <w:bottom w:type="dxa" w:w="70"/>
              <w:right w:type="dxa" w:w="90"/>
            </w:tcMar>
            <w:vAlign w:val="center"/>
          </w:tcPr>
          <w:p>
            <w:pPr>
              <w:jc w:val="left"/>
            </w:pPr>
            <w:r>
              <w:rPr>
                <w:b w:val="false"/>
                <w:bCs w:val="false"/>
                <w:color w:val="000000"/>
                <w:sz w:val="16"/>
                <w:szCs w:val="16"/>
              </w:rPr>
              <w:t xml:space="preserve">Replace “V̄ remains above 11.6” with crisis mean V̄ = 11.57; 8 of 18 crisis years fall below, minimum 5.81</w:t>
            </w:r>
          </w:p>
        </w:tc>
        <w:tc>
          <w:tcPr>
            <w:tcW w:type="dxa" w:w="1444"/>
            <w:tcMar>
              <w:top w:type="dxa" w:w="70"/>
              <w:left w:type="dxa" w:w="90"/>
              <w:bottom w:type="dxa" w:w="70"/>
              <w:right w:type="dxa" w:w="90"/>
            </w:tcMar>
            <w:vAlign w:val="center"/>
          </w:tcPr>
          <w:p>
            <w:pPr>
              <w:jc w:val="left"/>
            </w:pPr>
            <w:r>
              <w:rPr>
                <w:b w:val="false"/>
                <w:bCs w:val="false"/>
                <w:color w:val="000000"/>
                <w:sz w:val="16"/>
                <w:szCs w:val="16"/>
              </w:rPr>
              <w:t xml:space="preserve">Data</w:t>
            </w:r>
          </w:p>
        </w:tc>
      </w:tr>
      <w:tr>
        <w:tc>
          <w:tcPr>
            <w:tcW w:type="dxa" w:w="451"/>
            <w:shd w:fill="F4F6F8" w:val="clear"/>
            <w:tcMar>
              <w:top w:type="dxa" w:w="70"/>
              <w:left w:type="dxa" w:w="90"/>
              <w:bottom w:type="dxa" w:w="70"/>
              <w:right w:type="dxa" w:w="90"/>
            </w:tcMar>
            <w:vAlign w:val="center"/>
          </w:tcPr>
          <w:p>
            <w:pPr>
              <w:jc w:val="left"/>
            </w:pPr>
            <w:r>
              <w:rPr>
                <w:b w:val="false"/>
                <w:bCs w:val="false"/>
                <w:color w:val="000000"/>
                <w:sz w:val="16"/>
                <w:szCs w:val="16"/>
              </w:rPr>
              <w:t xml:space="preserve">14</w:t>
            </w:r>
          </w:p>
        </w:tc>
        <w:tc>
          <w:tcPr>
            <w:tcW w:type="dxa" w:w="903"/>
            <w:shd w:fill="F4F6F8" w:val="clear"/>
            <w:tcMar>
              <w:top w:type="dxa" w:w="70"/>
              <w:left w:type="dxa" w:w="90"/>
              <w:bottom w:type="dxa" w:w="70"/>
              <w:right w:type="dxa" w:w="90"/>
            </w:tcMar>
            <w:vAlign w:val="center"/>
          </w:tcPr>
          <w:p>
            <w:pPr>
              <w:jc w:val="left"/>
            </w:pPr>
            <w:r>
              <w:rPr>
                <w:b w:val="false"/>
                <w:bCs w:val="false"/>
                <w:color w:val="000000"/>
                <w:sz w:val="16"/>
                <w:szCs w:val="16"/>
              </w:rPr>
              <w:t xml:space="preserve">ηsoil</w:t>
            </w:r>
          </w:p>
        </w:tc>
        <w:tc>
          <w:tcPr>
            <w:tcW w:type="dxa" w:w="1354"/>
            <w:shd w:fill="F4F6F8" w:val="clear"/>
            <w:tcMar>
              <w:top w:type="dxa" w:w="70"/>
              <w:left w:type="dxa" w:w="90"/>
              <w:bottom w:type="dxa" w:w="70"/>
              <w:right w:type="dxa" w:w="90"/>
            </w:tcMar>
            <w:vAlign w:val="center"/>
          </w:tcPr>
          <w:p>
            <w:pPr>
              <w:jc w:val="left"/>
            </w:pPr>
            <w:r>
              <w:rPr>
                <w:b w:val="false"/>
                <w:bCs w:val="false"/>
                <w:color w:val="000000"/>
                <w:sz w:val="16"/>
                <w:szCs w:val="16"/>
              </w:rPr>
              <w:t xml:space="preserve">§3.1 / §4</w:t>
            </w:r>
          </w:p>
        </w:tc>
        <w:tc>
          <w:tcPr>
            <w:tcW w:type="dxa" w:w="4874"/>
            <w:shd w:fill="F4F6F8" w:val="clear"/>
            <w:tcMar>
              <w:top w:type="dxa" w:w="70"/>
              <w:left w:type="dxa" w:w="90"/>
              <w:bottom w:type="dxa" w:w="70"/>
              <w:right w:type="dxa" w:w="90"/>
            </w:tcMar>
            <w:vAlign w:val="center"/>
          </w:tcPr>
          <w:p>
            <w:pPr>
              <w:jc w:val="left"/>
            </w:pPr>
            <w:r>
              <w:rPr>
                <w:b w:val="false"/>
                <w:bCs w:val="false"/>
                <w:color w:val="000000"/>
                <w:sz w:val="16"/>
                <w:szCs w:val="16"/>
              </w:rPr>
              <w:t xml:space="preserve">Disclose Germany's 1949–1989 omission and rerun all baseline, peak and trajectory claims on the 127-year file</w:t>
            </w:r>
          </w:p>
        </w:tc>
        <w:tc>
          <w:tcPr>
            <w:tcW w:type="dxa" w:w="1444"/>
            <w:shd w:fill="F4F6F8" w:val="clear"/>
            <w:tcMar>
              <w:top w:type="dxa" w:w="70"/>
              <w:left w:type="dxa" w:w="90"/>
              <w:bottom w:type="dxa" w:w="70"/>
              <w:right w:type="dxa" w:w="90"/>
            </w:tcMar>
            <w:vAlign w:val="center"/>
          </w:tcPr>
          <w:p>
            <w:pPr>
              <w:jc w:val="left"/>
            </w:pPr>
            <w:r>
              <w:rPr>
                <w:b w:val="false"/>
                <w:bCs w:val="false"/>
                <w:color w:val="000000"/>
                <w:sz w:val="16"/>
                <w:szCs w:val="16"/>
              </w:rPr>
              <w:t xml:space="preserve">Provenance</w:t>
            </w:r>
          </w:p>
        </w:tc>
      </w:tr>
      <w:tr>
        <w:tc>
          <w:tcPr>
            <w:tcW w:type="dxa" w:w="451"/>
            <w:tcMar>
              <w:top w:type="dxa" w:w="70"/>
              <w:left w:type="dxa" w:w="90"/>
              <w:bottom w:type="dxa" w:w="70"/>
              <w:right w:type="dxa" w:w="90"/>
            </w:tcMar>
            <w:vAlign w:val="center"/>
          </w:tcPr>
          <w:p>
            <w:pPr>
              <w:jc w:val="left"/>
            </w:pPr>
            <w:r>
              <w:rPr>
                <w:b w:val="false"/>
                <w:bCs w:val="false"/>
                <w:color w:val="000000"/>
                <w:sz w:val="16"/>
                <w:szCs w:val="16"/>
              </w:rPr>
              <w:t xml:space="preserve">15</w:t>
            </w:r>
          </w:p>
        </w:tc>
        <w:tc>
          <w:tcPr>
            <w:tcW w:type="dxa" w:w="903"/>
            <w:tcMar>
              <w:top w:type="dxa" w:w="70"/>
              <w:left w:type="dxa" w:w="90"/>
              <w:bottom w:type="dxa" w:w="70"/>
              <w:right w:type="dxa" w:w="90"/>
            </w:tcMar>
            <w:vAlign w:val="center"/>
          </w:tcPr>
          <w:p>
            <w:pPr>
              <w:jc w:val="left"/>
            </w:pPr>
            <w:r>
              <w:rPr>
                <w:b w:val="false"/>
                <w:bCs w:val="false"/>
                <w:color w:val="000000"/>
                <w:sz w:val="16"/>
                <w:szCs w:val="16"/>
              </w:rPr>
              <w:t xml:space="preserve">ηsoil</w:t>
            </w:r>
          </w:p>
        </w:tc>
        <w:tc>
          <w:tcPr>
            <w:tcW w:type="dxa" w:w="1354"/>
            <w:tcMar>
              <w:top w:type="dxa" w:w="70"/>
              <w:left w:type="dxa" w:w="90"/>
              <w:bottom w:type="dxa" w:w="70"/>
              <w:right w:type="dxa" w:w="90"/>
            </w:tcMar>
            <w:vAlign w:val="center"/>
          </w:tcPr>
          <w:p>
            <w:pPr>
              <w:jc w:val="left"/>
            </w:pPr>
            <w:r>
              <w:rPr>
                <w:b w:val="false"/>
                <w:bCs w:val="false"/>
                <w:color w:val="000000"/>
                <w:sz w:val="16"/>
                <w:szCs w:val="16"/>
              </w:rPr>
              <w:t xml:space="preserve">§3.1</w:t>
            </w:r>
          </w:p>
        </w:tc>
        <w:tc>
          <w:tcPr>
            <w:tcW w:type="dxa" w:w="4874"/>
            <w:tcMar>
              <w:top w:type="dxa" w:w="70"/>
              <w:left w:type="dxa" w:w="90"/>
              <w:bottom w:type="dxa" w:w="70"/>
              <w:right w:type="dxa" w:w="90"/>
            </w:tcMar>
            <w:vAlign w:val="center"/>
          </w:tcPr>
          <w:p>
            <w:pPr>
              <w:jc w:val="left"/>
            </w:pPr>
            <w:r>
              <w:rPr>
                <w:b w:val="false"/>
                <w:bCs w:val="false"/>
                <w:color w:val="000000"/>
                <w:sz w:val="16"/>
                <w:szCs w:val="16"/>
              </w:rPr>
              <w:t xml:space="preserve">Disclose Australia's missing 1930 observation and the reason for excluding the incomplete public row</w:t>
            </w:r>
          </w:p>
        </w:tc>
        <w:tc>
          <w:tcPr>
            <w:tcW w:type="dxa" w:w="1444"/>
            <w:tcMar>
              <w:top w:type="dxa" w:w="70"/>
              <w:left w:type="dxa" w:w="90"/>
              <w:bottom w:type="dxa" w:w="70"/>
              <w:right w:type="dxa" w:w="90"/>
            </w:tcMar>
            <w:vAlign w:val="center"/>
          </w:tcPr>
          <w:p>
            <w:pPr>
              <w:jc w:val="left"/>
            </w:pPr>
            <w:r>
              <w:rPr>
                <w:b w:val="false"/>
                <w:bCs w:val="false"/>
                <w:color w:val="000000"/>
                <w:sz w:val="16"/>
                <w:szCs w:val="16"/>
              </w:rPr>
              <w:t xml:space="preserve">Provenance</w:t>
            </w:r>
          </w:p>
        </w:tc>
      </w:tr>
      <w:tr>
        <w:tc>
          <w:tcPr>
            <w:tcW w:type="dxa" w:w="451"/>
            <w:shd w:fill="F4F6F8" w:val="clear"/>
            <w:tcMar>
              <w:top w:type="dxa" w:w="70"/>
              <w:left w:type="dxa" w:w="90"/>
              <w:bottom w:type="dxa" w:w="70"/>
              <w:right w:type="dxa" w:w="90"/>
            </w:tcMar>
            <w:vAlign w:val="center"/>
          </w:tcPr>
          <w:p>
            <w:pPr>
              <w:jc w:val="left"/>
            </w:pPr>
            <w:r>
              <w:rPr>
                <w:b w:val="false"/>
                <w:bCs w:val="false"/>
                <w:color w:val="000000"/>
                <w:sz w:val="16"/>
                <w:szCs w:val="16"/>
              </w:rPr>
              <w:t xml:space="preserve">16</w:t>
            </w:r>
          </w:p>
        </w:tc>
        <w:tc>
          <w:tcPr>
            <w:tcW w:type="dxa" w:w="903"/>
            <w:shd w:fill="F4F6F8" w:val="clear"/>
            <w:tcMar>
              <w:top w:type="dxa" w:w="70"/>
              <w:left w:type="dxa" w:w="90"/>
              <w:bottom w:type="dxa" w:w="70"/>
              <w:right w:type="dxa" w:w="90"/>
            </w:tcMar>
            <w:vAlign w:val="center"/>
          </w:tcPr>
          <w:p>
            <w:pPr>
              <w:jc w:val="left"/>
            </w:pPr>
            <w:r>
              <w:rPr>
                <w:b w:val="false"/>
                <w:bCs w:val="false"/>
                <w:color w:val="000000"/>
                <w:sz w:val="16"/>
                <w:szCs w:val="16"/>
              </w:rPr>
              <w:t xml:space="preserve">ηsoil</w:t>
            </w:r>
          </w:p>
        </w:tc>
        <w:tc>
          <w:tcPr>
            <w:tcW w:type="dxa" w:w="1354"/>
            <w:shd w:fill="F4F6F8" w:val="clear"/>
            <w:tcMar>
              <w:top w:type="dxa" w:w="70"/>
              <w:left w:type="dxa" w:w="90"/>
              <w:bottom w:type="dxa" w:w="70"/>
              <w:right w:type="dxa" w:w="90"/>
            </w:tcMar>
            <w:vAlign w:val="center"/>
          </w:tcPr>
          <w:p>
            <w:pPr>
              <w:jc w:val="left"/>
            </w:pPr>
            <w:r>
              <w:rPr>
                <w:b w:val="false"/>
                <w:bCs w:val="false"/>
                <w:color w:val="000000"/>
                <w:sz w:val="16"/>
                <w:szCs w:val="16"/>
              </w:rPr>
              <w:t xml:space="preserve">§4.3, §4.4</w:t>
            </w:r>
          </w:p>
        </w:tc>
        <w:tc>
          <w:tcPr>
            <w:tcW w:type="dxa" w:w="4874"/>
            <w:shd w:fill="F4F6F8" w:val="clear"/>
            <w:tcMar>
              <w:top w:type="dxa" w:w="70"/>
              <w:left w:type="dxa" w:w="90"/>
              <w:bottom w:type="dxa" w:w="70"/>
              <w:right w:type="dxa" w:w="90"/>
            </w:tcMar>
            <w:vAlign w:val="center"/>
          </w:tcPr>
          <w:p>
            <w:pPr>
              <w:jc w:val="left"/>
            </w:pPr>
            <w:r>
              <w:rPr>
                <w:b w:val="false"/>
                <w:bCs w:val="false"/>
                <w:color w:val="000000"/>
                <w:sz w:val="16"/>
                <w:szCs w:val="16"/>
              </w:rPr>
              <w:t xml:space="preserve">Restore Figures 1 and 2 or remove their citations — neither appears in the PDF or DOCX</w:t>
            </w:r>
          </w:p>
        </w:tc>
        <w:tc>
          <w:tcPr>
            <w:tcW w:type="dxa" w:w="1444"/>
            <w:shd w:fill="F4F6F8" w:val="clear"/>
            <w:tcMar>
              <w:top w:type="dxa" w:w="70"/>
              <w:left w:type="dxa" w:w="90"/>
              <w:bottom w:type="dxa" w:w="70"/>
              <w:right w:type="dxa" w:w="90"/>
            </w:tcMar>
            <w:vAlign w:val="center"/>
          </w:tcPr>
          <w:p>
            <w:pPr>
              <w:jc w:val="left"/>
            </w:pPr>
            <w:r>
              <w:rPr>
                <w:b w:val="false"/>
                <w:bCs w:val="false"/>
                <w:color w:val="000000"/>
                <w:sz w:val="16"/>
                <w:szCs w:val="16"/>
              </w:rPr>
              <w:t xml:space="preserve">Editorial</w:t>
            </w:r>
          </w:p>
        </w:tc>
      </w:tr>
      <w:tr>
        <w:tc>
          <w:tcPr>
            <w:tcW w:type="dxa" w:w="451"/>
            <w:tcMar>
              <w:top w:type="dxa" w:w="70"/>
              <w:left w:type="dxa" w:w="90"/>
              <w:bottom w:type="dxa" w:w="70"/>
              <w:right w:type="dxa" w:w="90"/>
            </w:tcMar>
            <w:vAlign w:val="center"/>
          </w:tcPr>
          <w:p>
            <w:pPr>
              <w:jc w:val="left"/>
            </w:pPr>
            <w:r>
              <w:rPr>
                <w:b w:val="false"/>
                <w:bCs w:val="false"/>
                <w:color w:val="000000"/>
                <w:sz w:val="16"/>
                <w:szCs w:val="16"/>
              </w:rPr>
              <w:t xml:space="preserve">17</w:t>
            </w:r>
          </w:p>
        </w:tc>
        <w:tc>
          <w:tcPr>
            <w:tcW w:type="dxa" w:w="903"/>
            <w:tcMar>
              <w:top w:type="dxa" w:w="70"/>
              <w:left w:type="dxa" w:w="90"/>
              <w:bottom w:type="dxa" w:w="70"/>
              <w:right w:type="dxa" w:w="90"/>
            </w:tcMar>
            <w:vAlign w:val="center"/>
          </w:tcPr>
          <w:p>
            <w:pPr>
              <w:jc w:val="left"/>
            </w:pPr>
            <w:r>
              <w:rPr>
                <w:b w:val="false"/>
                <w:bCs w:val="false"/>
                <w:color w:val="000000"/>
                <w:sz w:val="16"/>
                <w:szCs w:val="16"/>
              </w:rPr>
              <w:t xml:space="preserve">ηsoil</w:t>
            </w:r>
          </w:p>
        </w:tc>
        <w:tc>
          <w:tcPr>
            <w:tcW w:type="dxa" w:w="1354"/>
            <w:tcMar>
              <w:top w:type="dxa" w:w="70"/>
              <w:left w:type="dxa" w:w="90"/>
              <w:bottom w:type="dxa" w:w="70"/>
              <w:right w:type="dxa" w:w="90"/>
            </w:tcMar>
            <w:vAlign w:val="center"/>
          </w:tcPr>
          <w:p>
            <w:pPr>
              <w:jc w:val="left"/>
            </w:pPr>
            <w:r>
              <w:rPr>
                <w:b w:val="false"/>
                <w:bCs w:val="false"/>
                <w:color w:val="000000"/>
                <w:sz w:val="16"/>
                <w:szCs w:val="16"/>
              </w:rPr>
              <w:t xml:space="preserve">Table 2, Germany σV</w:t>
            </w:r>
          </w:p>
        </w:tc>
        <w:tc>
          <w:tcPr>
            <w:tcW w:type="dxa" w:w="4874"/>
            <w:tcMar>
              <w:top w:type="dxa" w:w="70"/>
              <w:left w:type="dxa" w:w="90"/>
              <w:bottom w:type="dxa" w:w="70"/>
              <w:right w:type="dxa" w:w="90"/>
            </w:tcMar>
            <w:vAlign w:val="center"/>
          </w:tcPr>
          <w:p>
            <w:pPr>
              <w:jc w:val="left"/>
            </w:pPr>
            <w:r>
              <w:rPr>
                <w:b w:val="false"/>
                <w:bCs w:val="false"/>
                <w:color w:val="000000"/>
                <w:sz w:val="16"/>
                <w:szCs w:val="16"/>
              </w:rPr>
              <w:t xml:space="preserve">t = −6.52 duplicates Iran's cell exactly; Germany computes to −7.48 (Student) / −6.43 (Welch)</w:t>
            </w:r>
          </w:p>
        </w:tc>
        <w:tc>
          <w:tcPr>
            <w:tcW w:type="dxa" w:w="1444"/>
            <w:tcMar>
              <w:top w:type="dxa" w:w="70"/>
              <w:left w:type="dxa" w:w="90"/>
              <w:bottom w:type="dxa" w:w="70"/>
              <w:right w:type="dxa" w:w="90"/>
            </w:tcMar>
            <w:vAlign w:val="center"/>
          </w:tcPr>
          <w:p>
            <w:pPr>
              <w:jc w:val="left"/>
            </w:pPr>
            <w:r>
              <w:rPr>
                <w:b w:val="false"/>
                <w:bCs w:val="false"/>
                <w:color w:val="000000"/>
                <w:sz w:val="16"/>
                <w:szCs w:val="16"/>
              </w:rPr>
              <w:t xml:space="preserve">Transcription</w:t>
            </w:r>
          </w:p>
        </w:tc>
      </w:tr>
    </w:tbl>
    <w:p>
      <w:pPr>
        <w:spacing w:after="300" w:before="80"/>
        <w:jc w:val="center"/>
      </w:pPr>
      <w:r>
        <w:rPr>
          <w:i/>
          <w:iCs/>
          <w:color w:val="555555"/>
          <w:sz w:val="18"/>
          <w:szCs w:val="18"/>
        </w:rPr>
        <w:t xml:space="preserve">Table 8 — Errata added in v2. Item 17 was identified during this revision and is not in either prior review.</w:t>
      </w:r>
    </w:p>
    <w:p>
      <w:pPr>
        <w:spacing w:after="160" w:line="276"/>
      </w:pPr>
      <w:r>
        <w:rPr>
          <w:b w:val="false"/>
          <w:bCs w:val="false"/>
          <w:i w:val="false"/>
          <w:iCs w:val="false"/>
          <w:sz w:val="22"/>
          <w:szCs w:val="22"/>
        </w:rPr>
        <w:t xml:space="preserve">Two provenance items sit outside the errata table because they concern the dataset catalogue rather than the papers. First, the public catalogue lists Denmark 1752–2025 as single-scorer, while the same page's methodology describes triple-AI ensemble scoring; until resolved, Denmark should not be represented as ensemble-scored. Second, the catalogue lists a Germany ensemble series at 1880–2026, a different vintage again from the 1900–2026 file used here — the version actually used should be stated explicitly.</w:t>
      </w:r>
    </w:p>
    <w:p>
      <w:r>
        <w:br w:type="page"/>
      </w:r>
    </w:p>
    <w:p>
      <w:pPr>
        <w:pStyle w:val="Heading1"/>
        <w:spacing w:after="160" w:before="360"/>
      </w:pPr>
      <w:r>
        <w:t xml:space="preserve">5. Methodological Findings</w:t>
      </w:r>
    </w:p>
    <w:p>
      <w:pPr>
        <w:spacing w:after="160" w:line="276"/>
      </w:pPr>
      <w:r>
        <w:rPr>
          <w:b w:val="false"/>
          <w:bCs w:val="false"/>
          <w:i w:val="false"/>
          <w:iCs w:val="false"/>
          <w:sz w:val="22"/>
          <w:szCs w:val="22"/>
        </w:rPr>
        <w:t xml:space="preserve">These are not errata. They concern what the papers can claim, and none is repaired by correcting a number.</w:t>
      </w:r>
    </w:p>
    <w:p>
      <w:pPr>
        <w:pStyle w:val="Heading2"/>
        <w:spacing w:after="120" w:before="280"/>
      </w:pPr>
      <w:r>
        <w:t xml:space="preserve">5.1 H2 is internally falsified as written</w:t>
      </w:r>
    </w:p>
    <w:p>
      <w:pPr>
        <w:spacing w:after="160" w:line="276"/>
      </w:pPr>
      <w:r>
        <w:rPr>
          <w:b w:val="false"/>
          <w:bCs w:val="false"/>
          <w:i w:val="false"/>
          <w:iCs w:val="false"/>
          <w:sz w:val="22"/>
          <w:szCs w:val="22"/>
        </w:rPr>
        <w:t xml:space="preserve">H2 predicts that crisis years “consistently occupy the low-η, high-σ quadrant.” Regime B — Coherent Collapse, the paper's own USA archetype — is defined by crisis producing low σV, and the data confirm it (crisis 2.15 against stable 2.21). The paper states a hypothesis and then, in the same results section, names a regime that contradicts it. This is an internal inconsistency, not an empirical shortfall, and it is repaired by editing rather than by new evidence: H2 should predict low η accompanied by regime-dependent dispersion, which is what the data show and what §5.4 of the paper already argues.</w:t>
      </w:r>
    </w:p>
    <w:p>
      <w:pPr>
        <w:pStyle w:val="Heading2"/>
        <w:spacing w:after="120" w:before="280"/>
      </w:pPr>
      <w:r>
        <w:t xml:space="preserve">5.2 ηsoil is signal-destructive relative to its own components</w:t>
      </w:r>
    </w:p>
    <w:p>
      <w:pPr>
        <w:spacing w:after="160" w:line="276"/>
      </w:pPr>
      <w:r>
        <w:rPr>
          <w:b w:val="false"/>
          <w:bCs w:val="false"/>
          <w:i w:val="false"/>
          <w:iCs w:val="false"/>
          <w:sz w:val="22"/>
          <w:szCs w:val="22"/>
        </w:rPr>
        <w:t xml:space="preserve">Archive bond strength alone achieves AUC 0.907 against the composite's 0.861, and mean Stress achieves 0.900. Because Archive bond strength is a factor in ηsoil's numerator, this is not a rival predictor winning — it is the composite discarding information its own numerator supplies. The SHands and σV normalisations require ablation and incremental-value testing before retention, and any claim to unique metric validity should be withdrawn until they pass.</w:t>
      </w:r>
    </w:p>
    <w:p>
      <w:pPr>
        <w:pStyle w:val="Heading2"/>
        <w:spacing w:after="120" w:before="280"/>
      </w:pPr>
      <w:r>
        <w:t xml:space="preserve">5.3 Scale covariance is inherited, not tested</w:t>
      </w:r>
    </w:p>
    <w:p>
      <w:pPr>
        <w:spacing w:after="160" w:line="276"/>
      </w:pPr>
      <w:r>
        <w:rPr>
          <w:b w:val="false"/>
          <w:bCs w:val="false"/>
          <w:i w:val="false"/>
          <w:iCs w:val="false"/>
          <w:sz w:val="22"/>
          <w:szCs w:val="22"/>
        </w:rPr>
        <w:t xml:space="preserve">Comparing six polities at a single organisational scale demonstrates possible operator portability across societies. It does not test covariance across organisational scales, which is what the title claims. The cross-scale warrant is inherited from P.4 — which rests on a corporate panel and two national comparators, and carries the F-P4.3 inconsistency at item 4. The inherited basis is thinner than either paper's phrasing implies, and this paper adds cross-polity evidence at one scale rather than new cross-scale evidence.</w:t>
      </w:r>
    </w:p>
    <w:p>
      <w:pPr>
        <w:pStyle w:val="Heading2"/>
        <w:spacing w:after="120" w:before="280"/>
      </w:pPr>
      <w:r>
        <w:t xml:space="preserve">5.4 Reconciliation of the two reviews</w:t>
      </w:r>
    </w:p>
    <w:p>
      <w:pPr>
        <w:spacing w:after="160" w:line="276"/>
      </w:pPr>
      <w:r>
        <w:rPr>
          <w:b w:val="false"/>
          <w:bCs w:val="false"/>
          <w:i w:val="false"/>
          <w:iCs w:val="false"/>
          <w:sz w:val="22"/>
          <w:szCs w:val="22"/>
        </w:rPr>
        <w:t xml:space="preserve">The two independent recomputations agree on every quantity, including the four pooled AUCs to three decimal places. They initially differed on the circular-shift p-values. The cause has been identified: both enumerated all N shifts exhaustively, but the second review additionally applied the Monte Carlo correction (k+1)/(N+1) after already counting the observed alignment within k. The resulting inflation equals 1/N in every case — Iran 0.0066 vs 0.0131 against 1/152 = 0.0066, China 0.0079 vs 0.0156 against 1/127 = 0.0079, and so on. With exhaustive enumeration, p = k/N is correct, so the values in Table 6 stand. The substantive conclusion was identical under both conventions.</w:t>
      </w:r>
    </w:p>
    <w:p>
      <w:r>
        <w:br w:type="page"/>
      </w:r>
    </w:p>
    <w:p>
      <w:pPr>
        <w:pStyle w:val="Heading1"/>
        <w:spacing w:after="160" w:before="360"/>
      </w:pPr>
      <w:r>
        <w:t xml:space="preserve">6. Revised Assessment</w:t>
      </w:r>
    </w:p>
    <w:p>
      <w:pPr>
        <w:pBdr>
          <w:left w:val="single" w:color="2F3E4E" w:sz="18" w:space="12"/>
        </w:pBdr>
        <w:shd w:fill="F4F6F8" w:val="clear"/>
        <w:spacing w:after="200" w:before="160" w:line="276"/>
        <w:ind w:left="360" w:right="360"/>
      </w:pPr>
      <w:r>
        <w:rPr>
          <w:i/>
          <w:iCs/>
          <w:sz w:val="21"/>
          <w:szCs w:val="21"/>
        </w:rPr>
        <w:t xml:space="preserve">The audit confirms that the canonical CAMS calculations are reproducible from the specified C, K, S and A inputs, and that the four original errata remain valid. It does not independently validate the Soil-Bond Index as an incremental, predictive or scale-covariant operator. Crisis-period η is directionally lower in all five valid panels and conventionally significant in four, providing evidence of concurrent construct alignment. However, the reported t-statistics require correction, annual observations are temporally dependent, and simpler quantities — including Archive bond strength and mean Stress — discriminate the nominated crisis periods at least as well as η. H2 is internally inconsistent, because its universal high-dispersion prediction is contradicted by the paper's own Coherent Collapse regime. H3 remains an exploratory typology rather than a demonstrated set of dynamical attractors. Germany's omitted 1949–1989 block is a material provenance failure requiring complete recomputation of its baseline and trajectory claims.</w:t>
      </w:r>
    </w:p>
    <w:p>
      <w:pPr>
        <w:spacing w:after="160" w:line="276"/>
      </w:pPr>
      <w:r>
        <w:rPr>
          <w:b w:val="false"/>
          <w:bCs w:val="false"/>
          <w:i w:val="false"/>
          <w:iCs w:val="false"/>
          <w:sz w:val="22"/>
          <w:szCs w:val="22"/>
        </w:rPr>
        <w:t xml:space="preserve">For the other two papers the position is unchanged from v1. The Scale-Recursion Hypothesis reproduces in full and extends cleanly to an untested out-of-sample panel; three refinements are recommended, none altering a result. The Operator Portability Proposition reproduces in full once the correct France vintage is used; one falsification-status entry is internally inconsistent and does not affect the substantive conclusions.</w:t>
      </w:r>
    </w:p>
    <w:p>
      <w:pPr>
        <w:pStyle w:val="Heading2"/>
        <w:spacing w:after="120" w:before="280"/>
      </w:pPr>
      <w:r>
        <w:t xml:space="preserve">Requirements before “validation” is claimed</w:t>
      </w:r>
    </w:p>
    <w:p>
      <w:pPr>
        <w:pStyle w:val="ListParagraph"/>
        <w:numPr>
          <w:ilvl w:val="0"/>
          <w:numId w:val="2"/>
        </w:numPr>
        <w:spacing w:after="100" w:line="276"/>
      </w:pPr>
      <w:r>
        <w:rPr>
          <w:sz w:val="22"/>
          <w:szCs w:val="22"/>
        </w:rPr>
        <w:t xml:space="preserve">Frozen source files with hashes, analysis code, and crisis masks deposited alongside the paper.</w:t>
      </w:r>
    </w:p>
    <w:p>
      <w:pPr>
        <w:pStyle w:val="ListParagraph"/>
        <w:numPr>
          <w:ilvl w:val="0"/>
          <w:numId w:val="2"/>
        </w:numPr>
        <w:spacing w:after="100" w:line="276"/>
      </w:pPr>
      <w:r>
        <w:rPr>
          <w:sz w:val="22"/>
          <w:szCs w:val="22"/>
        </w:rPr>
        <w:t xml:space="preserve">Explicit disclosure of missing years and per-series scorer provenance.</w:t>
      </w:r>
    </w:p>
    <w:p>
      <w:pPr>
        <w:pStyle w:val="ListParagraph"/>
        <w:numPr>
          <w:ilvl w:val="0"/>
          <w:numId w:val="2"/>
        </w:numPr>
        <w:spacing w:after="100" w:line="276"/>
      </w:pPr>
      <w:r>
        <w:rPr>
          <w:sz w:val="22"/>
          <w:szCs w:val="22"/>
        </w:rPr>
        <w:t xml:space="preserve">Block-bootstrap, episode-level or interrupted-time-series inference in place of annual t-tests.</w:t>
      </w:r>
    </w:p>
    <w:p>
      <w:pPr>
        <w:pStyle w:val="ListParagraph"/>
        <w:numPr>
          <w:ilvl w:val="0"/>
          <w:numId w:val="2"/>
        </w:numPr>
        <w:spacing w:after="100" w:line="276"/>
      </w:pPr>
      <w:r>
        <w:rPr>
          <w:sz w:val="22"/>
          <w:szCs w:val="22"/>
        </w:rPr>
        <w:t xml:space="preserve">Comparison against mean Stress, V̄, bond strength and simpler null indices, with ablation of the ηsoil denominator.</w:t>
      </w:r>
    </w:p>
    <w:p>
      <w:pPr>
        <w:pStyle w:val="ListParagraph"/>
        <w:numPr>
          <w:ilvl w:val="0"/>
          <w:numId w:val="2"/>
        </w:numPr>
        <w:spacing w:after="100" w:line="276"/>
      </w:pPr>
      <w:r>
        <w:rPr>
          <w:sz w:val="22"/>
          <w:szCs w:val="22"/>
        </w:rPr>
        <w:t xml:space="preserve">Leave-one-crisis-episode and leave-one-society-out tests.</w:t>
      </w:r>
    </w:p>
    <w:p>
      <w:pPr>
        <w:pStyle w:val="ListParagraph"/>
        <w:numPr>
          <w:ilvl w:val="0"/>
          <w:numId w:val="2"/>
        </w:numPr>
        <w:spacing w:after="100" w:line="276"/>
      </w:pPr>
      <w:r>
        <w:rPr>
          <w:sz w:val="22"/>
          <w:szCs w:val="22"/>
        </w:rPr>
        <w:t xml:space="preserve">Externally coded outcomes and prospective or genuinely blinded scoring.</w:t>
      </w:r>
    </w:p>
    <w:p>
      <w:pPr>
        <w:pStyle w:val="ListParagraph"/>
        <w:numPr>
          <w:ilvl w:val="0"/>
          <w:numId w:val="2"/>
        </w:numPr>
        <w:spacing w:after="100" w:line="276"/>
      </w:pPr>
      <w:r>
        <w:rPr>
          <w:sz w:val="22"/>
          <w:szCs w:val="22"/>
        </w:rPr>
        <w:t xml:space="preserve">A pre-registered clustering or classification test for the three regimes.</w:t>
      </w:r>
    </w:p>
    <w:p>
      <w:pPr>
        <w:spacing w:after="160" w:line="276"/>
      </w:pPr>
      <w:r>
        <w:rPr>
          <w:b w:val="false"/>
          <w:bCs w:val="false"/>
          <w:i/>
          <w:iCs/>
          <w:sz w:val="22"/>
          <w:szCs w:val="22"/>
        </w:rPr>
        <w:t xml:space="preserve">The arithmetic survives. What changes is the epistemic status attached to it, which this version states accurately.</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abstractNum w:abstractNumId="2" w15:restartNumberingAfterBreak="0">
    <w:multiLevelType w:val="hybridMultilevel"/>
    <w:lvl w:ilvl="0" w15:tentative="1">
      <w:start w:val="1"/>
      <w:numFmt w:val="bullet"/>
      <w:lvlText w:val="•"/>
      <w:lvlJc w:val="left"/>
      <w:pPr>
        <w:ind w:left="420" w:hanging="260"/>
      </w:pPr>
    </w:lvl>
  </w:abstractNum>
  <w:num w:numId="1">
    <w:abstractNumId w:val="1"/>
    <w:lvlOverride w:ilvl="0">
      <w:startOverride w:val="1"/>
    </w:lvlOverride>
  </w:num>
  <w:num w:numId="2">
    <w:abstractNumId w:val="2"/>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cs="Calibri" w:eastAsia="Calibri" w:hAnsi="Calibri"/>
        <w:sz w:val="22"/>
        <w:szCs w:val="22"/>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pPr>
      <w:spacing w:after="200" w:before="400"/>
    </w:pPr>
    <w:rPr>
      <w:rFonts w:ascii="Calibri" w:cs="Calibri" w:eastAsia="Calibri" w:hAnsi="Calibri"/>
      <w:b/>
      <w:bCs/>
      <w:color w:val="1F2A38"/>
      <w:sz w:val="32"/>
      <w:szCs w:val="32"/>
    </w:rPr>
  </w:style>
  <w:style w:type="paragraph" w:styleId="Heading2">
    <w:name w:val="Heading 2"/>
    <w:basedOn w:val="Normal"/>
    <w:next w:val="Normal"/>
    <w:qFormat/>
    <w:rPr>
      <w:rFonts w:ascii="Calibri" w:cs="Calibri" w:eastAsia="Calibri" w:hAnsi="Calibri"/>
      <w:b/>
      <w:bCs/>
      <w:color w:val="2F3E4E"/>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image" Target="media/4c072d806c6d17ef9590ab524408654f4e64eae1.png"/><Relationship Id="rId8" Type="http://schemas.openxmlformats.org/officeDocument/2006/relationships/image" Target="media/ce345693a9df8a2630aef99bba4ae7e4efdf8e15.png"/><Relationship Id="rId9" Type="http://schemas.openxmlformats.org/officeDocument/2006/relationships/image" Target="media/a3a4b394fbfb95b29a4f6871456ba5ad61628758.png"/><Relationship Id="rId10" Type="http://schemas.openxmlformats.org/officeDocument/2006/relationships/image" Target="media/2702ee1923205c4c18a6e36cc613c7ccc1187979.png"/><Relationship Id="rId11" Type="http://schemas.openxmlformats.org/officeDocument/2006/relationships/image" Target="media/531fe45629383a698cd9803d5344714258924734.png"/><Relationship Id="rId12"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2026-07-31T10:53:38.700Z</dcterms:created>
  <dcterms:modified xsi:type="dcterms:W3CDTF">2026-07-31T10:53:38.700Z</dcterms:modified>
</cp:coreProperties>
</file>

<file path=docProps/custom.xml><?xml version="1.0" encoding="utf-8"?>
<Properties xmlns="http://schemas.openxmlformats.org/officeDocument/2006/custom-properties" xmlns:vt="http://schemas.openxmlformats.org/officeDocument/2006/docPropsVTypes"/>
</file>