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400"/>
        <w:jc w:val="center"/>
      </w:pPr>
      <w:r>
        <w:rPr>
          <w:b/>
          <w:bCs/>
          <w:color w:val="1F2A38"/>
          <w:sz w:val="40"/>
          <w:szCs w:val="40"/>
        </w:rPr>
        <w:t xml:space="preserve">Independent Data-Traceability Audit</w:t>
      </w:r>
    </w:p>
    <w:p>
      <w:pPr>
        <w:spacing w:after="80"/>
        <w:jc w:val="center"/>
      </w:pPr>
      <w:r>
        <w:rPr>
          <w:color w:val="3D4F63"/>
          <w:sz w:val="26"/>
          <w:szCs w:val="26"/>
        </w:rPr>
        <w:t xml:space="preserve">Verification and Errata for Three CAMS Working Papers</w:t>
      </w:r>
    </w:p>
    <w:p>
      <w:pPr>
        <w:spacing w:after="40"/>
        <w:jc w:val="center"/>
      </w:pPr>
      <w:r>
        <w:rPr>
          <w:i/>
          <w:iCs/>
          <w:color w:val="555555"/>
          <w:sz w:val="21"/>
          <w:szCs w:val="21"/>
        </w:rPr>
        <w:t xml:space="preserve">Scale-Recursion Hypothesis  ·  Operator Portability Proposition  ·  The Soil-Bond Index (ηsoil)</w:t>
      </w:r>
    </w:p>
    <w:p>
      <w:pPr>
        <w:spacing w:after="20" w:before="240"/>
        <w:jc w:val="center"/>
      </w:pPr>
      <w:r>
        <w:rPr>
          <w:sz w:val="20"/>
          <w:szCs w:val="20"/>
        </w:rPr>
        <w:t xml:space="preserve">Prepared for Neural Nations Research / ComplexityWorkz</w:t>
      </w:r>
    </w:p>
    <w:p>
      <w:pPr>
        <w:spacing w:after="20"/>
        <w:jc w:val="center"/>
      </w:pPr>
      <w:r>
        <w:rPr>
          <w:sz w:val="20"/>
          <w:szCs w:val="20"/>
        </w:rPr>
        <w:t xml:space="preserve">31 July 2026</w:t>
      </w:r>
    </w:p>
    <w:p>
      <w:pPr>
        <w:spacing w:after="400"/>
        <w:jc w:val="center"/>
      </w:pPr>
      <w:r>
        <w:rPr>
          <w:i/>
          <w:iCs/>
          <w:color w:val="777777"/>
          <w:sz w:val="19"/>
          <w:szCs w:val="19"/>
        </w:rPr>
        <w:t xml:space="preserve">Computational verification performed by Claude (Anthropic) at the author's request</w:t>
      </w:r>
    </w:p>
    <w:p>
      <w:pPr>
        <w:pStyle w:val="Heading2"/>
        <w:spacing w:after="120" w:before="280"/>
      </w:pPr>
      <w:r>
        <w:t xml:space="preserve">Purpose and Scope</w:t>
      </w:r>
    </w:p>
    <w:p>
      <w:pPr>
        <w:spacing w:after="160" w:line="276"/>
      </w:pPr>
      <w:r>
        <w:rPr>
          <w:b w:val="false"/>
          <w:bCs w:val="false"/>
          <w:i w:val="false"/>
          <w:iCs w:val="false"/>
          <w:sz w:val="22"/>
          <w:szCs w:val="22"/>
        </w:rPr>
        <w:t xml:space="preserve">This report documents an independent computational audit of three working papers produced within the CAMS research programme: the Scale-Recursion Hypothesis (corporate panel), the Operator Portability Proposition (within- and cross-domain validation), and “The Soil-Bond Index as a Scale-Covariant Operator” (ηsoil, six-society validation). Every statistic reported below was recomputed independently from the underlying raw ensemble node-score data — never from a paper's own summary tables or stored derived columns — using each paper's own stated canonical formulas. Confirmed figures are reported as such; discrepancies are reported with the specific corrected value and their likely source.</w:t>
      </w:r>
    </w:p>
    <w:p>
      <w:pPr>
        <w:spacing w:after="160" w:line="276"/>
      </w:pPr>
      <w:r>
        <w:rPr>
          <w:b w:val="false"/>
          <w:bCs w:val="false"/>
          <w:i w:val="false"/>
          <w:iCs w:val="false"/>
          <w:sz w:val="22"/>
          <w:szCs w:val="22"/>
        </w:rPr>
        <w:t xml:space="preserve">This document is a supporting appendix, not a replacement for any of the three papers. It should be read alongside them. Section 6 consolidates every correction identified across all three papers into a single errata table for editorial use.</w:t>
      </w:r>
    </w:p>
    <w:p>
      <w:pPr>
        <w:pStyle w:val="Heading2"/>
        <w:spacing w:after="120" w:before="280"/>
      </w:pPr>
      <w:r>
        <w:t xml:space="preserve">Methodology</w:t>
      </w:r>
    </w:p>
    <w:p>
      <w:pPr>
        <w:spacing w:after="160" w:line="276"/>
      </w:pPr>
      <w:r>
        <w:rPr>
          <w:b w:val="false"/>
          <w:bCs w:val="false"/>
          <w:i w:val="false"/>
          <w:iCs w:val="false"/>
          <w:sz w:val="22"/>
          <w:szCs w:val="22"/>
        </w:rPr>
        <w:t xml:space="preserve">All node-level analyses use the canonical v1.0/v1.1-Final operator set as specified in the source papers:</w:t>
      </w:r>
    </w:p>
    <w:p>
      <w:pPr>
        <w:spacing w:after="160" w:line="276"/>
      </w:pPr>
      <w:r>
        <w:rPr>
          <w:b w:val="false"/>
          <w:bCs w:val="false"/>
          <w:i w:val="false"/>
          <w:iCs w:val="false"/>
          <w:sz w:val="22"/>
          <w:szCs w:val="22"/>
        </w:rPr>
        <w:t xml:space="preserve">V</w:t>
      </w:r>
      <w:r>
        <w:rPr>
          <w:b w:val="false"/>
          <w:bCs w:val="false"/>
          <w:i w:val="false"/>
          <w:iCs w:val="false"/>
          <w:sz w:val="16"/>
          <w:szCs w:val="16"/>
          <w:vertAlign w:val="subscript"/>
        </w:rPr>
        <w:t xml:space="preserve">i</w:t>
      </w:r>
      <w:r>
        <w:rPr>
          <w:b w:val="false"/>
          <w:bCs w:val="false"/>
          <w:i w:val="false"/>
          <w:iCs w:val="false"/>
          <w:sz w:val="22"/>
          <w:szCs w:val="22"/>
        </w:rPr>
        <w:t xml:space="preserve"> = C</w:t>
      </w:r>
      <w:r>
        <w:rPr>
          <w:b w:val="false"/>
          <w:bCs w:val="false"/>
          <w:i w:val="false"/>
          <w:iCs w:val="false"/>
          <w:sz w:val="16"/>
          <w:szCs w:val="16"/>
          <w:vertAlign w:val="subscript"/>
        </w:rPr>
        <w:t xml:space="preserve">i</w:t>
      </w:r>
      <w:r>
        <w:rPr>
          <w:b w:val="false"/>
          <w:bCs w:val="false"/>
          <w:i w:val="false"/>
          <w:iCs w:val="false"/>
          <w:sz w:val="22"/>
          <w:szCs w:val="22"/>
        </w:rPr>
        <w:t xml:space="preserve"> + K</w:t>
      </w:r>
      <w:r>
        <w:rPr>
          <w:b w:val="false"/>
          <w:bCs w:val="false"/>
          <w:i w:val="false"/>
          <w:iCs w:val="false"/>
          <w:sz w:val="16"/>
          <w:szCs w:val="16"/>
          <w:vertAlign w:val="subscript"/>
        </w:rPr>
        <w:t xml:space="preserve">i</w:t>
      </w:r>
      <w:r>
        <w:rPr>
          <w:b w:val="false"/>
          <w:bCs w:val="false"/>
          <w:i w:val="false"/>
          <w:iCs w:val="false"/>
          <w:sz w:val="22"/>
          <w:szCs w:val="22"/>
        </w:rPr>
        <w:t xml:space="preserve"> − S</w:t>
      </w:r>
      <w:r>
        <w:rPr>
          <w:b w:val="false"/>
          <w:bCs w:val="false"/>
          <w:i w:val="false"/>
          <w:iCs w:val="false"/>
          <w:sz w:val="16"/>
          <w:szCs w:val="16"/>
          <w:vertAlign w:val="subscript"/>
        </w:rPr>
        <w:t xml:space="preserve">i</w:t>
      </w:r>
      <w:r>
        <w:rPr>
          <w:b w:val="false"/>
          <w:bCs w:val="false"/>
          <w:i w:val="false"/>
          <w:iCs w:val="false"/>
          <w:sz w:val="22"/>
          <w:szCs w:val="22"/>
        </w:rPr>
        <w:t xml:space="preserve"> + 0.5A</w:t>
      </w:r>
      <w:r>
        <w:rPr>
          <w:b w:val="false"/>
          <w:bCs w:val="false"/>
          <w:i w:val="false"/>
          <w:iCs w:val="false"/>
          <w:sz w:val="16"/>
          <w:szCs w:val="16"/>
          <w:vertAlign w:val="subscript"/>
        </w:rPr>
        <w:t xml:space="preserve">i</w:t>
      </w:r>
      <w:r>
        <w:rPr>
          <w:b w:val="false"/>
          <w:bCs w:val="false"/>
          <w:i/>
          <w:iCs/>
          <w:sz w:val="22"/>
          <w:szCs w:val="22"/>
        </w:rPr>
        <w:t xml:space="preserve">   (Node Value)</w:t>
      </w:r>
    </w:p>
    <w:p>
      <w:pPr>
        <w:spacing w:after="160" w:line="276"/>
      </w:pPr>
      <w:r>
        <w:rPr>
          <w:b w:val="false"/>
          <w:bCs w:val="false"/>
          <w:i w:val="false"/>
          <w:iCs w:val="false"/>
          <w:sz w:val="22"/>
          <w:szCs w:val="22"/>
        </w:rPr>
        <w:t xml:space="preserve">q</w:t>
      </w:r>
      <w:r>
        <w:rPr>
          <w:b w:val="false"/>
          <w:bCs w:val="false"/>
          <w:i w:val="false"/>
          <w:iCs w:val="false"/>
          <w:sz w:val="16"/>
          <w:szCs w:val="16"/>
          <w:vertAlign w:val="subscript"/>
        </w:rPr>
        <w:t xml:space="preserve">i</w:t>
      </w:r>
      <w:r>
        <w:rPr>
          <w:b w:val="false"/>
          <w:bCs w:val="false"/>
          <w:i w:val="false"/>
          <w:iCs w:val="false"/>
          <w:sz w:val="22"/>
          <w:szCs w:val="22"/>
        </w:rPr>
        <w:t xml:space="preserve"> = (0.6C</w:t>
      </w:r>
      <w:r>
        <w:rPr>
          <w:b w:val="false"/>
          <w:bCs w:val="false"/>
          <w:i w:val="false"/>
          <w:iCs w:val="false"/>
          <w:sz w:val="16"/>
          <w:szCs w:val="16"/>
          <w:vertAlign w:val="subscript"/>
        </w:rPr>
        <w:t xml:space="preserve">i</w:t>
      </w:r>
      <w:r>
        <w:rPr>
          <w:b w:val="false"/>
          <w:bCs w:val="false"/>
          <w:i w:val="false"/>
          <w:iCs w:val="false"/>
          <w:sz w:val="22"/>
          <w:szCs w:val="22"/>
        </w:rPr>
        <w:t xml:space="preserve"> + 0.4A</w:t>
      </w:r>
      <w:r>
        <w:rPr>
          <w:b w:val="false"/>
          <w:bCs w:val="false"/>
          <w:i w:val="false"/>
          <w:iCs w:val="false"/>
          <w:sz w:val="16"/>
          <w:szCs w:val="16"/>
          <w:vertAlign w:val="subscript"/>
        </w:rPr>
        <w:t xml:space="preserve">i</w:t>
      </w:r>
      <w:r>
        <w:rPr>
          <w:b w:val="false"/>
          <w:bCs w:val="false"/>
          <w:i w:val="false"/>
          <w:iCs w:val="false"/>
          <w:sz w:val="22"/>
          <w:szCs w:val="22"/>
        </w:rPr>
        <w:t xml:space="preserve">)/10</w:t>
      </w:r>
    </w:p>
    <w:p>
      <w:pPr>
        <w:spacing w:after="160" w:line="276"/>
      </w:pPr>
      <w:r>
        <w:rPr>
          <w:b w:val="false"/>
          <w:bCs w:val="false"/>
          <w:i w:val="false"/>
          <w:iCs w:val="false"/>
          <w:sz w:val="22"/>
          <w:szCs w:val="22"/>
        </w:rPr>
        <w:t xml:space="preserve">W</w:t>
      </w:r>
      <w:r>
        <w:rPr>
          <w:b w:val="false"/>
          <w:bCs w:val="false"/>
          <w:i w:val="false"/>
          <w:iCs w:val="false"/>
          <w:sz w:val="16"/>
          <w:szCs w:val="16"/>
          <w:vertAlign w:val="subscript"/>
        </w:rPr>
        <w:t xml:space="preserve">ij</w:t>
      </w:r>
      <w:r>
        <w:rPr>
          <w:b w:val="false"/>
          <w:bCs w:val="false"/>
          <w:i w:val="false"/>
          <w:iCs w:val="false"/>
          <w:sz w:val="22"/>
          <w:szCs w:val="22"/>
        </w:rPr>
        <w:t xml:space="preserve"> = √(q</w:t>
      </w:r>
      <w:r>
        <w:rPr>
          <w:b w:val="false"/>
          <w:bCs w:val="false"/>
          <w:i w:val="false"/>
          <w:iCs w:val="false"/>
          <w:sz w:val="16"/>
          <w:szCs w:val="16"/>
          <w:vertAlign w:val="subscript"/>
        </w:rPr>
        <w:t xml:space="preserve">i</w:t>
      </w:r>
      <w:r>
        <w:rPr>
          <w:b w:val="false"/>
          <w:bCs w:val="false"/>
          <w:i w:val="false"/>
          <w:iCs w:val="false"/>
          <w:sz w:val="22"/>
          <w:szCs w:val="22"/>
        </w:rPr>
        <w:t xml:space="preserve">q</w:t>
      </w:r>
      <w:r>
        <w:rPr>
          <w:b w:val="false"/>
          <w:bCs w:val="false"/>
          <w:i w:val="false"/>
          <w:iCs w:val="false"/>
          <w:sz w:val="16"/>
          <w:szCs w:val="16"/>
          <w:vertAlign w:val="subscript"/>
        </w:rPr>
        <w:t xml:space="preserve">j</w:t>
      </w:r>
      <w:r>
        <w:rPr>
          <w:b w:val="false"/>
          <w:bCs w:val="false"/>
          <w:i w:val="false"/>
          <w:iCs w:val="false"/>
          <w:sz w:val="22"/>
          <w:szCs w:val="22"/>
        </w:rPr>
        <w:t xml:space="preserve">) · 2</w:t>
      </w:r>
      <w:r>
        <w:rPr>
          <w:b w:val="false"/>
          <w:bCs w:val="false"/>
          <w:i w:val="false"/>
          <w:iCs w:val="false"/>
          <w:sz w:val="16"/>
          <w:szCs w:val="16"/>
          <w:vertAlign w:val="subscript"/>
        </w:rPr>
        <w:t xml:space="preserve">−(Si+Sj)/10</w:t>
      </w:r>
      <w:r>
        <w:rPr>
          <w:b w:val="false"/>
          <w:bCs w:val="false"/>
          <w:i/>
          <w:iCs/>
          <w:sz w:val="22"/>
          <w:szCs w:val="22"/>
        </w:rPr>
        <w:t xml:space="preserve">   (pairwise bond strength)</w:t>
      </w:r>
    </w:p>
    <w:p>
      <w:pPr>
        <w:spacing w:after="160" w:line="276"/>
      </w:pPr>
      <w:r>
        <w:rPr>
          <w:b w:val="false"/>
          <w:bCs w:val="false"/>
          <w:i w:val="false"/>
          <w:iCs w:val="false"/>
          <w:sz w:val="22"/>
          <w:szCs w:val="22"/>
        </w:rPr>
        <w:t xml:space="preserve">B̄ = </w:t>
      </w:r>
      <w:r>
        <w:rPr>
          <w:b w:val="false"/>
          <w:bCs w:val="false"/>
          <w:i w:val="false"/>
          <w:iCs w:val="false"/>
          <w:sz w:val="22"/>
          <w:szCs w:val="22"/>
        </w:rPr>
        <w:t xml:space="preserve">2/N(N−1) · Σ</w:t>
      </w:r>
      <w:r>
        <w:rPr>
          <w:b w:val="false"/>
          <w:bCs w:val="false"/>
          <w:i w:val="false"/>
          <w:iCs w:val="false"/>
          <w:sz w:val="16"/>
          <w:szCs w:val="16"/>
          <w:vertAlign w:val="subscript"/>
        </w:rPr>
        <w:t xml:space="preserve">i&lt;j</w:t>
      </w:r>
      <w:r>
        <w:rPr>
          <w:b w:val="false"/>
          <w:bCs w:val="false"/>
          <w:i w:val="false"/>
          <w:iCs w:val="false"/>
          <w:sz w:val="22"/>
          <w:szCs w:val="22"/>
        </w:rPr>
        <w:t xml:space="preserve"> W</w:t>
      </w:r>
      <w:r>
        <w:rPr>
          <w:b w:val="false"/>
          <w:bCs w:val="false"/>
          <w:i w:val="false"/>
          <w:iCs w:val="false"/>
          <w:sz w:val="16"/>
          <w:szCs w:val="16"/>
          <w:vertAlign w:val="subscript"/>
        </w:rPr>
        <w:t xml:space="preserve">ij</w:t>
      </w:r>
      <w:r>
        <w:rPr>
          <w:b w:val="false"/>
          <w:bCs w:val="false"/>
          <w:i/>
          <w:iCs/>
          <w:sz w:val="22"/>
          <w:szCs w:val="22"/>
        </w:rPr>
        <w:t xml:space="preserve">   (aggregate bond strength, N = 8 nodes)</w:t>
      </w:r>
    </w:p>
    <w:p>
      <w:pPr>
        <w:spacing w:after="160" w:line="276"/>
      </w:pPr>
      <w:r>
        <w:rPr>
          <w:b w:val="false"/>
          <w:bCs w:val="false"/>
          <w:i/>
          <w:iCs/>
          <w:sz w:val="22"/>
          <w:szCs w:val="22"/>
        </w:rPr>
        <w:t xml:space="preserve">λ₂ = second-smallest eigenvalue of the graph Laplacian L = D − W   (algebraic connectivity)</w:t>
      </w:r>
    </w:p>
    <w:p>
      <w:pPr>
        <w:spacing w:after="160" w:line="276"/>
      </w:pPr>
      <w:r>
        <w:rPr>
          <w:b w:val="false"/>
          <w:bCs w:val="false"/>
          <w:i w:val="false"/>
          <w:iCs w:val="false"/>
          <w:sz w:val="22"/>
          <w:szCs w:val="22"/>
        </w:rPr>
        <w:t xml:space="preserve">σ</w:t>
      </w:r>
      <w:r>
        <w:rPr>
          <w:b w:val="false"/>
          <w:bCs w:val="false"/>
          <w:i w:val="false"/>
          <w:iCs w:val="false"/>
          <w:sz w:val="16"/>
          <w:szCs w:val="16"/>
          <w:vertAlign w:val="subscript"/>
        </w:rPr>
        <w:t xml:space="preserve">V</w:t>
      </w:r>
      <w:r>
        <w:rPr>
          <w:b w:val="false"/>
          <w:bCs w:val="false"/>
          <w:i w:val="false"/>
          <w:iCs w:val="false"/>
          <w:sz w:val="22"/>
          <w:szCs w:val="22"/>
        </w:rPr>
        <w:t xml:space="preserve"> = population standard deviation of V</w:t>
      </w:r>
      <w:r>
        <w:rPr>
          <w:b w:val="false"/>
          <w:bCs w:val="false"/>
          <w:i w:val="false"/>
          <w:iCs w:val="false"/>
          <w:sz w:val="16"/>
          <w:szCs w:val="16"/>
          <w:vertAlign w:val="subscript"/>
        </w:rPr>
        <w:t xml:space="preserve">i</w:t>
      </w:r>
      <w:r>
        <w:rPr>
          <w:b w:val="false"/>
          <w:bCs w:val="false"/>
          <w:i w:val="false"/>
          <w:iCs w:val="false"/>
          <w:sz w:val="22"/>
          <w:szCs w:val="22"/>
        </w:rPr>
        <w:t xml:space="preserve"> across the 8 nodes (ddof = 0)</w:t>
      </w:r>
    </w:p>
    <w:p>
      <w:pPr>
        <w:spacing w:after="160" w:line="276"/>
      </w:pPr>
      <w:r>
        <w:rPr>
          <w:b w:val="false"/>
          <w:bCs w:val="false"/>
          <w:i w:val="false"/>
          <w:iCs w:val="false"/>
          <w:sz w:val="22"/>
          <w:szCs w:val="22"/>
        </w:rPr>
        <w:t xml:space="preserve">η</w:t>
      </w:r>
      <w:r>
        <w:rPr>
          <w:b w:val="false"/>
          <w:bCs w:val="false"/>
          <w:i w:val="false"/>
          <w:iCs w:val="false"/>
          <w:sz w:val="16"/>
          <w:szCs w:val="16"/>
          <w:vertAlign w:val="subscript"/>
        </w:rPr>
        <w:t xml:space="preserve">soil</w:t>
      </w:r>
      <w:r>
        <w:rPr>
          <w:b w:val="false"/>
          <w:bCs w:val="false"/>
          <w:i w:val="false"/>
          <w:iCs w:val="false"/>
          <w:sz w:val="22"/>
          <w:szCs w:val="22"/>
        </w:rPr>
        <w:t xml:space="preserve"> = [BS</w:t>
      </w:r>
      <w:r>
        <w:rPr>
          <w:b w:val="false"/>
          <w:bCs w:val="false"/>
          <w:i w:val="false"/>
          <w:iCs w:val="false"/>
          <w:sz w:val="16"/>
          <w:szCs w:val="16"/>
          <w:vertAlign w:val="subscript"/>
        </w:rPr>
        <w:t xml:space="preserve">Lore</w:t>
      </w:r>
      <w:r>
        <w:rPr>
          <w:b w:val="false"/>
          <w:bCs w:val="false"/>
          <w:i w:val="false"/>
          <w:iCs w:val="false"/>
          <w:sz w:val="22"/>
          <w:szCs w:val="22"/>
        </w:rPr>
        <w:t xml:space="preserve"> × BS</w:t>
      </w:r>
      <w:r>
        <w:rPr>
          <w:b w:val="false"/>
          <w:bCs w:val="false"/>
          <w:i w:val="false"/>
          <w:iCs w:val="false"/>
          <w:sz w:val="16"/>
          <w:szCs w:val="16"/>
          <w:vertAlign w:val="subscript"/>
        </w:rPr>
        <w:t xml:space="preserve">Archive</w:t>
      </w:r>
      <w:r>
        <w:rPr>
          <w:b w:val="false"/>
          <w:bCs w:val="false"/>
          <w:i w:val="false"/>
          <w:iCs w:val="false"/>
          <w:sz w:val="22"/>
          <w:szCs w:val="22"/>
        </w:rPr>
        <w:t xml:space="preserve"> × C</w:t>
      </w:r>
      <w:r>
        <w:rPr>
          <w:b w:val="false"/>
          <w:bCs w:val="false"/>
          <w:i w:val="false"/>
          <w:iCs w:val="false"/>
          <w:sz w:val="16"/>
          <w:szCs w:val="16"/>
          <w:vertAlign w:val="subscript"/>
        </w:rPr>
        <w:t xml:space="preserve">Hands</w:t>
      </w:r>
      <w:r>
        <w:rPr>
          <w:b w:val="false"/>
          <w:bCs w:val="false"/>
          <w:i w:val="false"/>
          <w:iCs w:val="false"/>
          <w:sz w:val="22"/>
          <w:szCs w:val="22"/>
        </w:rPr>
        <w:t xml:space="preserve">] / [max(S</w:t>
      </w:r>
      <w:r>
        <w:rPr>
          <w:b w:val="false"/>
          <w:bCs w:val="false"/>
          <w:i w:val="false"/>
          <w:iCs w:val="false"/>
          <w:sz w:val="16"/>
          <w:szCs w:val="16"/>
          <w:vertAlign w:val="subscript"/>
        </w:rPr>
        <w:t xml:space="preserve">Hands</w:t>
      </w:r>
      <w:r>
        <w:rPr>
          <w:b w:val="false"/>
          <w:bCs w:val="false"/>
          <w:i w:val="false"/>
          <w:iCs w:val="false"/>
          <w:sz w:val="22"/>
          <w:szCs w:val="22"/>
        </w:rPr>
        <w:t xml:space="preserve">, 2.0) × σ</w:t>
      </w:r>
      <w:r>
        <w:rPr>
          <w:b w:val="false"/>
          <w:bCs w:val="false"/>
          <w:i w:val="false"/>
          <w:iCs w:val="false"/>
          <w:sz w:val="16"/>
          <w:szCs w:val="16"/>
          <w:vertAlign w:val="subscript"/>
        </w:rPr>
        <w:t xml:space="preserve">V</w:t>
      </w:r>
      <w:r>
        <w:rPr>
          <w:b w:val="false"/>
          <w:bCs w:val="false"/>
          <w:i w:val="false"/>
          <w:iCs w:val="false"/>
          <w:sz w:val="22"/>
          <w:szCs w:val="22"/>
        </w:rPr>
        <w:t xml:space="preserve">]</w:t>
      </w:r>
    </w:p>
    <w:p>
      <w:pPr>
        <w:spacing w:after="160" w:line="276"/>
      </w:pPr>
      <w:r>
        <w:rPr>
          <w:b w:val="false"/>
          <w:bCs w:val="false"/>
          <w:i w:val="false"/>
          <w:iCs w:val="false"/>
          <w:sz w:val="22"/>
          <w:szCs w:val="22"/>
        </w:rPr>
        <w:t xml:space="preserve">where BSLore and BSArchive denote each node's own canonical bond strength, taken as the mean of Wij over the other seven nodes.</w:t>
      </w:r>
    </w:p>
    <w:p>
      <w:pPr>
        <w:spacing w:after="160" w:line="276"/>
      </w:pPr>
      <w:r>
        <w:rPr>
          <w:b w:val="false"/>
          <w:bCs w:val="false"/>
          <w:i w:val="false"/>
          <w:iCs w:val="false"/>
          <w:sz w:val="22"/>
          <w:szCs w:val="22"/>
        </w:rPr>
        <w:t xml:space="preserve">For each paper, the reported source dataset was located within the project's ensemble CSV corpus, the relevant operators were recomputed in Python (pandas / numpy / scipy), and the results were compared against the paper's stated figures. Where an initially-supplied file failed to reproduce a paper's own numbers, this is recorded explicitly as a provenance mismatch rather than treated as a numerical error in the paper itself — in every such case, a corrected source file was subsequently supplied and used for the confirmatory figures below. Statistical tests (Pearson correlation, Kolmogorov–Smirnov, Mann–Whitney U, Cohen's d, independent-samples t-tests) were reproduced using scipy.stats under the same grouping definitions given in each paper.</w:t>
      </w:r>
    </w:p>
    <w:p>
      <w:r>
        <w:br w:type="page"/>
      </w:r>
    </w:p>
    <w:p>
      <w:pPr>
        <w:pStyle w:val="Heading1"/>
        <w:spacing w:after="160" w:before="360"/>
      </w:pPr>
      <w:r>
        <w:t xml:space="preserve">1. Scale-Recursion Hypothesis — Corporate Panel</w:t>
      </w:r>
    </w:p>
    <w:p>
      <w:pPr>
        <w:spacing w:after="160" w:line="276"/>
      </w:pPr>
      <w:r>
        <w:rPr>
          <w:b w:val="false"/>
          <w:bCs w:val="false"/>
          <w:i w:val="false"/>
          <w:iCs w:val="false"/>
          <w:sz w:val="22"/>
          <w:szCs w:val="22"/>
        </w:rPr>
        <w:t xml:space="preserve">Source data: camcorp5_ensemble_mean.csv (General Motors, BYD, CATL, Tencent; 2006–2026, n = 84 entity-years) and camcorp5_batch2_ensemble_mean.csv (Huawei, Tesla, Bunnings, Woodside, BHP; n = 105 entity-years, used here as an out-of-sample extension not tested in the original paper).</w:t>
      </w:r>
    </w:p>
    <w:p>
      <w:pPr>
        <w:pStyle w:val="Heading2"/>
        <w:spacing w:after="120" w:before="280"/>
      </w:pPr>
      <w:r>
        <w:t xml:space="preserve">1.1 Operator invariance</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2347"/>
        <w:gridCol w:w="2708"/>
        <w:gridCol w:w="3971"/>
      </w:tblGrid>
      <w:tr>
        <w:trPr>
          <w:tblHeader/>
        </w:trPr>
        <w:tc>
          <w:tcPr>
            <w:tcW w:type="dxa" w:w="2347"/>
            <w:shd w:fill="2F3E4E" w:val="clear"/>
            <w:tcMar>
              <w:top w:type="dxa" w:w="80"/>
              <w:left w:type="dxa" w:w="100"/>
              <w:bottom w:type="dxa" w:w="80"/>
              <w:right w:type="dxa" w:w="100"/>
            </w:tcMar>
            <w:vAlign w:val="center"/>
          </w:tcPr>
          <w:p>
            <w:pPr>
              <w:jc w:val="center"/>
            </w:pPr>
            <w:r>
              <w:rPr>
                <w:b/>
                <w:bCs/>
                <w:color w:val="FFFFFF"/>
                <w:sz w:val="19"/>
                <w:szCs w:val="19"/>
              </w:rPr>
              <w:t xml:space="preserve">Claim</w:t>
            </w:r>
          </w:p>
        </w:tc>
        <w:tc>
          <w:tcPr>
            <w:tcW w:type="dxa" w:w="2708"/>
            <w:shd w:fill="2F3E4E" w:val="clear"/>
            <w:tcMar>
              <w:top w:type="dxa" w:w="80"/>
              <w:left w:type="dxa" w:w="100"/>
              <w:bottom w:type="dxa" w:w="80"/>
              <w:right w:type="dxa" w:w="100"/>
            </w:tcMar>
            <w:vAlign w:val="center"/>
          </w:tcPr>
          <w:p>
            <w:pPr>
              <w:jc w:val="center"/>
            </w:pPr>
            <w:r>
              <w:rPr>
                <w:b/>
                <w:bCs/>
                <w:color w:val="FFFFFF"/>
                <w:sz w:val="19"/>
                <w:szCs w:val="19"/>
              </w:rPr>
              <w:t xml:space="preserve">Paper</w:t>
            </w:r>
          </w:p>
        </w:tc>
        <w:tc>
          <w:tcPr>
            <w:tcW w:type="dxa" w:w="3971"/>
            <w:shd w:fill="2F3E4E" w:val="clear"/>
            <w:tcMar>
              <w:top w:type="dxa" w:w="80"/>
              <w:left w:type="dxa" w:w="100"/>
              <w:bottom w:type="dxa" w:w="80"/>
              <w:right w:type="dxa" w:w="100"/>
            </w:tcMar>
            <w:vAlign w:val="center"/>
          </w:tcPr>
          <w:p>
            <w:pPr>
              <w:jc w:val="center"/>
            </w:pPr>
            <w:r>
              <w:rPr>
                <w:b/>
                <w:bCs/>
                <w:color w:val="FFFFFF"/>
                <w:sz w:val="19"/>
                <w:szCs w:val="19"/>
              </w:rPr>
              <w:t xml:space="preserve">Recomputed</w:t>
            </w:r>
          </w:p>
        </w:tc>
      </w:tr>
      <w:tr>
        <w:tc>
          <w:tcPr>
            <w:tcW w:type="dxa" w:w="2347"/>
            <w:tcMar>
              <w:top w:type="dxa" w:w="80"/>
              <w:left w:type="dxa" w:w="100"/>
              <w:bottom w:type="dxa" w:w="80"/>
              <w:right w:type="dxa" w:w="100"/>
            </w:tcMar>
            <w:vAlign w:val="center"/>
          </w:tcPr>
          <w:p>
            <w:pPr>
              <w:jc w:val="left"/>
            </w:pPr>
            <w:r>
              <w:rPr>
                <w:b w:val="false"/>
                <w:bCs w:val="false"/>
                <w:color w:val="000000"/>
                <w:sz w:val="19"/>
                <w:szCs w:val="19"/>
              </w:rPr>
              <w:t xml:space="preserve">Corporate B̄ range</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0.076–0.446</w:t>
            </w:r>
          </w:p>
        </w:tc>
        <w:tc>
          <w:tcPr>
            <w:tcW w:type="dxa" w:w="3971"/>
            <w:tcMar>
              <w:top w:type="dxa" w:w="80"/>
              <w:left w:type="dxa" w:w="100"/>
              <w:bottom w:type="dxa" w:w="80"/>
              <w:right w:type="dxa" w:w="100"/>
            </w:tcMar>
            <w:vAlign w:val="center"/>
          </w:tcPr>
          <w:p>
            <w:pPr>
              <w:jc w:val="left"/>
            </w:pPr>
            <w:r>
              <w:rPr>
                <w:b w:val="false"/>
                <w:bCs w:val="false"/>
                <w:color w:val="000000"/>
                <w:sz w:val="19"/>
                <w:szCs w:val="19"/>
              </w:rPr>
              <w:t xml:space="preserve">0.0758–0.4464</w:t>
            </w:r>
          </w:p>
        </w:tc>
      </w:tr>
      <w:tr>
        <w:tc>
          <w:tcPr>
            <w:tcW w:type="dxa" w:w="2347"/>
            <w:shd w:fill="F4F6F8" w:val="clear"/>
            <w:tcMar>
              <w:top w:type="dxa" w:w="80"/>
              <w:left w:type="dxa" w:w="100"/>
              <w:bottom w:type="dxa" w:w="80"/>
              <w:right w:type="dxa" w:w="100"/>
            </w:tcMar>
            <w:vAlign w:val="center"/>
          </w:tcPr>
          <w:p>
            <w:pPr>
              <w:jc w:val="left"/>
            </w:pPr>
            <w:r>
              <w:rPr>
                <w:b w:val="false"/>
                <w:bCs w:val="false"/>
                <w:color w:val="000000"/>
                <w:sz w:val="19"/>
                <w:szCs w:val="19"/>
              </w:rPr>
              <w:t xml:space="preserve">Corporate λ₂ range</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0.606–3.221</w:t>
            </w:r>
          </w:p>
        </w:tc>
        <w:tc>
          <w:tcPr>
            <w:tcW w:type="dxa" w:w="3971"/>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0.6063–3.2214</w:t>
            </w:r>
          </w:p>
        </w:tc>
      </w:tr>
      <w:tr>
        <w:tc>
          <w:tcPr>
            <w:tcW w:type="dxa" w:w="2347"/>
            <w:tcMar>
              <w:top w:type="dxa" w:w="80"/>
              <w:left w:type="dxa" w:w="100"/>
              <w:bottom w:type="dxa" w:w="80"/>
              <w:right w:type="dxa" w:w="100"/>
            </w:tcMar>
            <w:vAlign w:val="center"/>
          </w:tcPr>
          <w:p>
            <w:pPr>
              <w:jc w:val="left"/>
            </w:pPr>
            <w:r>
              <w:rPr>
                <w:b w:val="false"/>
                <w:bCs w:val="false"/>
                <w:color w:val="000000"/>
                <w:sz w:val="19"/>
                <w:szCs w:val="19"/>
              </w:rPr>
              <w:t xml:space="preserve">GM 2009 floor</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B̄=0.112, λ₂=0.779</w:t>
            </w:r>
          </w:p>
        </w:tc>
        <w:tc>
          <w:tcPr>
            <w:tcW w:type="dxa" w:w="3971"/>
            <w:tcMar>
              <w:top w:type="dxa" w:w="80"/>
              <w:left w:type="dxa" w:w="100"/>
              <w:bottom w:type="dxa" w:w="80"/>
              <w:right w:type="dxa" w:w="100"/>
            </w:tcMar>
            <w:vAlign w:val="center"/>
          </w:tcPr>
          <w:p>
            <w:pPr>
              <w:jc w:val="left"/>
            </w:pPr>
            <w:r>
              <w:rPr>
                <w:b w:val="false"/>
                <w:bCs w:val="false"/>
                <w:color w:val="000000"/>
                <w:sz w:val="19"/>
                <w:szCs w:val="19"/>
              </w:rPr>
              <w:t xml:space="preserve">B̄=0.1117, λ₂=0.7786</w:t>
            </w:r>
          </w:p>
        </w:tc>
      </w:tr>
      <w:tr>
        <w:tc>
          <w:tcPr>
            <w:tcW w:type="dxa" w:w="2347"/>
            <w:shd w:fill="F4F6F8" w:val="clear"/>
            <w:tcMar>
              <w:top w:type="dxa" w:w="80"/>
              <w:left w:type="dxa" w:w="100"/>
              <w:bottom w:type="dxa" w:w="80"/>
              <w:right w:type="dxa" w:w="100"/>
            </w:tcMar>
            <w:vAlign w:val="center"/>
          </w:tcPr>
          <w:p>
            <w:pPr>
              <w:jc w:val="left"/>
            </w:pPr>
            <w:r>
              <w:rPr>
                <w:b w:val="false"/>
                <w:bCs w:val="false"/>
                <w:color w:val="000000"/>
                <w:sz w:val="19"/>
                <w:szCs w:val="19"/>
              </w:rPr>
              <w:t xml:space="preserve">Tencent B̄ endpoints</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0.431 → 0.232</w:t>
            </w:r>
          </w:p>
        </w:tc>
        <w:tc>
          <w:tcPr>
            <w:tcW w:type="dxa" w:w="3971"/>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0.4314 (2017) → 0.2315 (2022)</w:t>
            </w:r>
          </w:p>
        </w:tc>
      </w:tr>
      <w:tr>
        <w:tc>
          <w:tcPr>
            <w:tcW w:type="dxa" w:w="2347"/>
            <w:tcMar>
              <w:top w:type="dxa" w:w="80"/>
              <w:left w:type="dxa" w:w="100"/>
              <w:bottom w:type="dxa" w:w="80"/>
              <w:right w:type="dxa" w:w="100"/>
            </w:tcMar>
            <w:vAlign w:val="center"/>
          </w:tcPr>
          <w:p>
            <w:pPr>
              <w:jc w:val="left"/>
            </w:pPr>
            <w:r>
              <w:rPr>
                <w:b w:val="false"/>
                <w:bCs w:val="false"/>
                <w:color w:val="000000"/>
                <w:sz w:val="19"/>
                <w:szCs w:val="19"/>
              </w:rPr>
              <w:t xml:space="preserve">Tencent λ₂, 2018–22</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stays &gt; 1.5</w:t>
            </w:r>
          </w:p>
        </w:tc>
        <w:tc>
          <w:tcPr>
            <w:tcW w:type="dxa" w:w="3971"/>
            <w:tcMar>
              <w:top w:type="dxa" w:w="80"/>
              <w:left w:type="dxa" w:w="100"/>
              <w:bottom w:type="dxa" w:w="80"/>
              <w:right w:type="dxa" w:w="100"/>
            </w:tcMar>
            <w:vAlign w:val="center"/>
          </w:tcPr>
          <w:p>
            <w:pPr>
              <w:jc w:val="left"/>
            </w:pPr>
            <w:r>
              <w:rPr>
                <w:b w:val="false"/>
                <w:bCs w:val="false"/>
                <w:color w:val="000000"/>
                <w:sz w:val="19"/>
                <w:szCs w:val="19"/>
              </w:rPr>
              <w:t xml:space="preserve">1.538–2.944 (min 1.538 in 2022)</w:t>
            </w:r>
          </w:p>
        </w:tc>
      </w:tr>
      <w:tr>
        <w:tc>
          <w:tcPr>
            <w:tcW w:type="dxa" w:w="2347"/>
            <w:shd w:fill="F4F6F8" w:val="clear"/>
            <w:tcMar>
              <w:top w:type="dxa" w:w="80"/>
              <w:left w:type="dxa" w:w="100"/>
              <w:bottom w:type="dxa" w:w="80"/>
              <w:right w:type="dxa" w:w="100"/>
            </w:tcMar>
            <w:vAlign w:val="center"/>
          </w:tcPr>
          <w:p>
            <w:pPr>
              <w:jc w:val="left"/>
            </w:pPr>
            <w:r>
              <w:rPr>
                <w:b w:val="false"/>
                <w:bCs w:val="false"/>
                <w:color w:val="000000"/>
                <w:sz w:val="19"/>
                <w:szCs w:val="19"/>
              </w:rPr>
              <w:t xml:space="preserve">CATL 2006–10</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B̄ 0.076–0.087</w:t>
            </w:r>
          </w:p>
        </w:tc>
        <w:tc>
          <w:tcPr>
            <w:tcW w:type="dxa" w:w="3971"/>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0.0758 (flat 2006–09) → 0.0873 (2010)</w:t>
            </w:r>
          </w:p>
        </w:tc>
      </w:tr>
      <w:tr>
        <w:tc>
          <w:tcPr>
            <w:tcW w:type="dxa" w:w="2347"/>
            <w:tcMar>
              <w:top w:type="dxa" w:w="80"/>
              <w:left w:type="dxa" w:w="100"/>
              <w:bottom w:type="dxa" w:w="80"/>
              <w:right w:type="dxa" w:w="100"/>
            </w:tcMar>
            <w:vAlign w:val="center"/>
          </w:tcPr>
          <w:p>
            <w:pPr>
              <w:jc w:val="left"/>
            </w:pPr>
            <w:r>
              <w:rPr>
                <w:b w:val="false"/>
                <w:bCs w:val="false"/>
                <w:color w:val="000000"/>
                <w:sz w:val="19"/>
                <w:szCs w:val="19"/>
              </w:rPr>
              <w:t xml:space="preserve">BYD</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no alarm years</w:t>
            </w:r>
          </w:p>
        </w:tc>
        <w:tc>
          <w:tcPr>
            <w:tcW w:type="dxa" w:w="3971"/>
            <w:tcMar>
              <w:top w:type="dxa" w:w="80"/>
              <w:left w:type="dxa" w:w="100"/>
              <w:bottom w:type="dxa" w:w="80"/>
              <w:right w:type="dxa" w:w="100"/>
            </w:tcMar>
            <w:vAlign w:val="center"/>
          </w:tcPr>
          <w:p>
            <w:pPr>
              <w:jc w:val="left"/>
            </w:pPr>
            <w:r>
              <w:rPr>
                <w:b w:val="false"/>
                <w:bCs w:val="false"/>
                <w:color w:val="000000"/>
                <w:sz w:val="19"/>
                <w:szCs w:val="19"/>
              </w:rPr>
              <w:t xml:space="preserve">B̄ floor 0.288 — above every other entity's trough</w:t>
            </w:r>
          </w:p>
        </w:tc>
      </w:tr>
    </w:tbl>
    <w:p>
      <w:pPr>
        <w:spacing w:after="300" w:before="80"/>
        <w:jc w:val="center"/>
      </w:pPr>
      <w:r>
        <w:rPr>
          <w:i/>
          <w:iCs/>
          <w:color w:val="555555"/>
          <w:sz w:val="18"/>
          <w:szCs w:val="18"/>
        </w:rPr>
        <w:t xml:space="preserve">Table 1.1 — Every figure reproduces to the precision reported.</w:t>
      </w:r>
    </w:p>
    <w:p>
      <w:pPr>
        <w:spacing w:after="160" w:line="276"/>
      </w:pPr>
      <w:r>
        <w:rPr>
          <w:b w:val="false"/>
          <w:bCs w:val="false"/>
          <w:i w:val="false"/>
          <w:iCs w:val="false"/>
          <w:sz w:val="22"/>
          <w:szCs w:val="22"/>
        </w:rPr>
        <w:t xml:space="preserve">Out-of-sample extension (not part of the original claim): of 105 batch-2 entity-years, 102 (97%) fall inside the corporate discriminating band derived solely from the 4-firm in-sample panel. The two boundary cases — BHP 2011 (B̄=0.448, λ₂=3.485) and Tesla 2006–07 (λ₂=0.601) — correspond respectively to the peak of the mining supercycle and Tesla's pre-delivery startup phase, both thematically consistent with the mechanisms the paper already identifies (Perfection-Paradox-adjacent brittleness at the top; pre-differentiation at the bottom).</w:t>
      </w:r>
    </w:p>
    <w:p>
      <w:pPr>
        <w:pStyle w:val="Heading2"/>
        <w:spacing w:after="120" w:before="280"/>
      </w:pPr>
      <w:r>
        <w:t xml:space="preserve">1.2 Topological invariance</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1444"/>
        <w:gridCol w:w="1805"/>
        <w:gridCol w:w="1264"/>
        <w:gridCol w:w="2708"/>
        <w:gridCol w:w="1805"/>
      </w:tblGrid>
      <w:tr>
        <w:trPr>
          <w:tblHeader/>
        </w:trPr>
        <w:tc>
          <w:tcPr>
            <w:tcW w:type="dxa" w:w="1444"/>
            <w:shd w:fill="2F3E4E" w:val="clear"/>
            <w:tcMar>
              <w:top w:type="dxa" w:w="80"/>
              <w:left w:type="dxa" w:w="100"/>
              <w:bottom w:type="dxa" w:w="80"/>
              <w:right w:type="dxa" w:w="100"/>
            </w:tcMar>
            <w:vAlign w:val="center"/>
          </w:tcPr>
          <w:p>
            <w:pPr>
              <w:jc w:val="center"/>
            </w:pPr>
            <w:r>
              <w:rPr>
                <w:b/>
                <w:bCs/>
                <w:color w:val="FFFFFF"/>
                <w:sz w:val="19"/>
                <w:szCs w:val="19"/>
              </w:rPr>
              <w:t xml:space="preserve">Entity</w:t>
            </w:r>
          </w:p>
        </w:tc>
        <w:tc>
          <w:tcPr>
            <w:tcW w:type="dxa" w:w="1805"/>
            <w:shd w:fill="2F3E4E" w:val="clear"/>
            <w:tcMar>
              <w:top w:type="dxa" w:w="80"/>
              <w:left w:type="dxa" w:w="100"/>
              <w:bottom w:type="dxa" w:w="80"/>
              <w:right w:type="dxa" w:w="100"/>
            </w:tcMar>
            <w:vAlign w:val="center"/>
          </w:tcPr>
          <w:p>
            <w:pPr>
              <w:jc w:val="center"/>
            </w:pPr>
            <w:r>
              <w:rPr>
                <w:b/>
                <w:bCs/>
                <w:color w:val="FFFFFF"/>
                <w:sz w:val="19"/>
                <w:szCs w:val="19"/>
              </w:rPr>
              <w:t xml:space="preserve">Raw bottleneck</w:t>
            </w:r>
          </w:p>
        </w:tc>
        <w:tc>
          <w:tcPr>
            <w:tcW w:type="dxa" w:w="1264"/>
            <w:shd w:fill="2F3E4E" w:val="clear"/>
            <w:tcMar>
              <w:top w:type="dxa" w:w="80"/>
              <w:left w:type="dxa" w:w="100"/>
              <w:bottom w:type="dxa" w:w="80"/>
              <w:right w:type="dxa" w:w="100"/>
            </w:tcMar>
            <w:vAlign w:val="center"/>
          </w:tcPr>
          <w:p>
            <w:pPr>
              <w:jc w:val="center"/>
            </w:pPr>
            <w:r>
              <w:rPr>
                <w:b/>
                <w:bCs/>
                <w:color w:val="FFFFFF"/>
                <w:sz w:val="19"/>
                <w:szCs w:val="19"/>
              </w:rPr>
              <w:t xml:space="preserve">Paper</w:t>
            </w:r>
          </w:p>
        </w:tc>
        <w:tc>
          <w:tcPr>
            <w:tcW w:type="dxa" w:w="2708"/>
            <w:shd w:fill="2F3E4E" w:val="clear"/>
            <w:tcMar>
              <w:top w:type="dxa" w:w="80"/>
              <w:left w:type="dxa" w:w="100"/>
              <w:bottom w:type="dxa" w:w="80"/>
              <w:right w:type="dxa" w:w="100"/>
            </w:tcMar>
            <w:vAlign w:val="center"/>
          </w:tcPr>
          <w:p>
            <w:pPr>
              <w:jc w:val="center"/>
            </w:pPr>
            <w:r>
              <w:rPr>
                <w:b/>
                <w:bCs/>
                <w:color w:val="FFFFFF"/>
                <w:sz w:val="19"/>
                <w:szCs w:val="19"/>
              </w:rPr>
              <w:t xml:space="preserve">Standardised bottleneck</w:t>
            </w:r>
          </w:p>
        </w:tc>
        <w:tc>
          <w:tcPr>
            <w:tcW w:type="dxa" w:w="1805"/>
            <w:shd w:fill="2F3E4E" w:val="clear"/>
            <w:tcMar>
              <w:top w:type="dxa" w:w="80"/>
              <w:left w:type="dxa" w:w="100"/>
              <w:bottom w:type="dxa" w:w="80"/>
              <w:right w:type="dxa" w:w="100"/>
            </w:tcMar>
            <w:vAlign w:val="center"/>
          </w:tcPr>
          <w:p>
            <w:pPr>
              <w:jc w:val="center"/>
            </w:pPr>
            <w:r>
              <w:rPr>
                <w:b/>
                <w:bCs/>
                <w:color w:val="FFFFFF"/>
                <w:sz w:val="19"/>
                <w:szCs w:val="19"/>
              </w:rPr>
              <w:t xml:space="preserve">Paper</w:t>
            </w:r>
          </w:p>
        </w:tc>
      </w:tr>
      <w:tr>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Tencent</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Shield 100.0%</w:t>
            </w:r>
          </w:p>
        </w:tc>
        <w:tc>
          <w:tcPr>
            <w:tcW w:type="dxa" w:w="1264"/>
            <w:tcMar>
              <w:top w:type="dxa" w:w="80"/>
              <w:left w:type="dxa" w:w="100"/>
              <w:bottom w:type="dxa" w:w="80"/>
              <w:right w:type="dxa" w:w="100"/>
            </w:tcMar>
            <w:vAlign w:val="center"/>
          </w:tcPr>
          <w:p>
            <w:pPr>
              <w:jc w:val="left"/>
            </w:pPr>
            <w:r>
              <w:rPr>
                <w:b w:val="false"/>
                <w:bCs w:val="false"/>
                <w:color w:val="000000"/>
                <w:sz w:val="19"/>
                <w:szCs w:val="19"/>
              </w:rPr>
              <w:t xml:space="preserve">100%</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Archive 28.6% / Shield 23.8%</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28.6%/23.8%</w:t>
            </w:r>
          </w:p>
        </w:tc>
      </w:tr>
      <w:tr>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BYD</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Shield 90.5%</w:t>
            </w:r>
          </w:p>
        </w:tc>
        <w:tc>
          <w:tcPr>
            <w:tcW w:type="dxa" w:w="126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90.5%</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Shield 28.6% (distributed)</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28.6%</w:t>
            </w:r>
          </w:p>
        </w:tc>
      </w:tr>
      <w:tr>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CATL</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Shield 47.6%</w:t>
            </w:r>
          </w:p>
        </w:tc>
        <w:tc>
          <w:tcPr>
            <w:tcW w:type="dxa" w:w="1264"/>
            <w:tcMar>
              <w:top w:type="dxa" w:w="80"/>
              <w:left w:type="dxa" w:w="100"/>
              <w:bottom w:type="dxa" w:w="80"/>
              <w:right w:type="dxa" w:w="100"/>
            </w:tcMar>
            <w:vAlign w:val="center"/>
          </w:tcPr>
          <w:p>
            <w:pPr>
              <w:jc w:val="left"/>
            </w:pPr>
            <w:r>
              <w:rPr>
                <w:b w:val="false"/>
                <w:bCs w:val="false"/>
                <w:color w:val="000000"/>
                <w:sz w:val="19"/>
                <w:szCs w:val="19"/>
              </w:rPr>
              <w:t xml:space="preserve">47.6%</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Lore 42.9%</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42.9%</w:t>
            </w:r>
          </w:p>
        </w:tc>
      </w:tr>
      <w:tr>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GM</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Hands 38.1%</w:t>
            </w:r>
          </w:p>
        </w:tc>
        <w:tc>
          <w:tcPr>
            <w:tcW w:type="dxa" w:w="126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38.1%</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Lore 38.1%, Shield/Craft 19.0% ea.</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38.1%/19.0%/19.0%</w:t>
            </w:r>
          </w:p>
        </w:tc>
      </w:tr>
    </w:tbl>
    <w:p>
      <w:pPr>
        <w:spacing w:after="300" w:before="80"/>
        <w:jc w:val="center"/>
      </w:pPr>
      <w:r>
        <w:rPr>
          <w:i/>
          <w:iCs/>
          <w:color w:val="555555"/>
          <w:sz w:val="18"/>
          <w:szCs w:val="18"/>
        </w:rPr>
        <w:t xml:space="preserve">Table 1.2 — Every percentage reproduces exactly.</w:t>
      </w:r>
    </w:p>
    <w:p>
      <w:pPr>
        <w:spacing w:after="160" w:line="276"/>
      </w:pPr>
      <w:r>
        <w:rPr>
          <w:b w:val="false"/>
          <w:bCs w:val="false"/>
          <w:i w:val="false"/>
          <w:iCs w:val="false"/>
          <w:sz w:val="22"/>
          <w:szCs w:val="22"/>
        </w:rPr>
        <w:t xml:space="preserve">Mechanism: pooled across the 4-firm panel, mean node value is lowest for Shield (8.14) by nearly a full point relative to the next-lowest node (Hands, 9.33), across every entity — Shield's whole scoring distribution sits low, which is what generates the raw-bottleneck concentration the paper attributes to a scale-anchoring artifact. Extending to the batch-2 firms, Shield remains the dominant raw bottleneck in 4 of 5 additional entities (Huawei 81.0%, Tesla 71.4%, Woodside 52.4%, BHP 57.1%), so the artifact is not specific to the original four firms.</w:t>
      </w:r>
    </w:p>
    <w:p>
      <w:pPr>
        <w:pStyle w:val="Heading2"/>
        <w:spacing w:after="120" w:before="280"/>
      </w:pPr>
      <w:r>
        <w:t xml:space="preserve">1.3 Items for correction</w:t>
      </w:r>
    </w:p>
    <w:p>
      <w:pPr>
        <w:pStyle w:val="ListParagraph"/>
        <w:numPr>
          <w:ilvl w:val="0"/>
          <w:numId w:val="2"/>
        </w:numPr>
        <w:spacing w:after="100" w:line="276"/>
      </w:pPr>
      <w:r>
        <w:rPr>
          <w:sz w:val="22"/>
          <w:szCs w:val="22"/>
        </w:rPr>
        <w:t xml:space="preserve">Wording precision: “Tencent drops from 0.431 to 0.232” is accurate at the endpoints but reads as monotonic. The actual path dips to 0.304 (2018), recovers to 0.419 (2020), then falls again to 0.232 (2022) — two distinct compressions (the 2018 gaming-licence freeze and the 2021–22 antitrust/fintech action), not one continuous decline. Recommend rewording to reflect the two-episode shape.</w:t>
      </w:r>
    </w:p>
    <w:p>
      <w:pPr>
        <w:pStyle w:val="ListParagraph"/>
        <w:numPr>
          <w:ilvl w:val="0"/>
          <w:numId w:val="2"/>
        </w:numPr>
        <w:spacing w:after="100" w:line="276"/>
      </w:pPr>
      <w:r>
        <w:rPr>
          <w:sz w:val="22"/>
          <w:szCs w:val="22"/>
        </w:rPr>
        <w:t xml:space="preserve">Numeric precision: the stored-Bond-Strength inflation factor is stated as “12×–112×.” The closest reproducible bound, using system B̄ as the per-node comparator, is 10.81×–111.07×; using a mean-over-neighbours per-node comparator gives 10.81×–98.10×. The qualitative claim (large, non-constant inflation) is fully supported; the exact stated bound is not reproducible without the original per-node comparator definition.</w:t>
      </w:r>
    </w:p>
    <w:p>
      <w:pPr>
        <w:pStyle w:val="ListParagraph"/>
        <w:numPr>
          <w:ilvl w:val="0"/>
          <w:numId w:val="2"/>
        </w:numPr>
        <w:spacing w:after="100" w:line="276"/>
      </w:pPr>
      <w:r>
        <w:rPr>
          <w:sz w:val="22"/>
          <w:szCs w:val="22"/>
        </w:rPr>
        <w:t xml:space="preserve">Methodological scope note: the canonical Wij as specified sums over all 28 node pairs (a complete graph, K8), not the sparse Mythic/Material-partition edge structure used elsewhere in the project's national-level formalism. B̄ and λ₂ correlate at r=0.981 under this construction — the two operators are close to redundant in a fully-connected topology. This test therefore does not engage the Mythic/Material partition question; recommend an explicit scope note given its relevance to the Archive Migration Law work.</w:t>
      </w:r>
    </w:p>
    <w:p>
      <w:pPr>
        <w:spacing w:after="0" w:before="200"/>
        <w:jc w:val="center"/>
      </w:pPr>
      <w:r>
        <w:drawing>
          <wp:inline distT="0" distB="0" distL="0" distR="0">
            <wp:extent cx="5334000" cy="4248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334000" cy="4248150"/>
                    </a:xfrm>
                    <a:prstGeom prst="rect">
                      <a:avLst/>
                    </a:prstGeom>
                  </pic:spPr>
                </pic:pic>
              </a:graphicData>
            </a:graphic>
          </wp:inline>
        </w:drawing>
      </w:r>
    </w:p>
    <w:p>
      <w:pPr>
        <w:spacing w:after="300" w:before="80"/>
        <w:jc w:val="center"/>
      </w:pPr>
      <w:r>
        <w:rPr>
          <w:i/>
          <w:iCs/>
          <w:color w:val="555555"/>
          <w:sz w:val="18"/>
          <w:szCs w:val="18"/>
        </w:rPr>
        <w:t xml:space="preserve">Figure 1 — Recomputed B̄(t) across all 9 firms, 2006–2026. Shaded band is the discriminating range established on the 4-firm in-sample panel; batch-2 firms (orange) were held out of it.</w:t>
      </w:r>
    </w:p>
    <w:p>
      <w:r>
        <w:br w:type="page"/>
      </w:r>
    </w:p>
    <w:p>
      <w:pPr>
        <w:pStyle w:val="Heading1"/>
        <w:spacing w:after="160" w:before="360"/>
      </w:pPr>
      <w:r>
        <w:t xml:space="preserve">2. Operator Portability Proposition</w:t>
      </w:r>
    </w:p>
    <w:p>
      <w:pPr>
        <w:spacing w:after="160" w:line="276"/>
      </w:pPr>
      <w:r>
        <w:rPr>
          <w:b w:val="false"/>
          <w:bCs w:val="false"/>
          <w:i w:val="false"/>
          <w:iCs w:val="false"/>
          <w:sz w:val="22"/>
          <w:szCs w:val="22"/>
        </w:rPr>
        <w:t xml:space="preserve">Source data: the same corporate panel as Section 1, plus Denmark_ENS_Bij_v10.csv (1752–2025, n=114 sampled society-years) and, following a provenance correction, France_ENS_Bij_v10.csv (1850–2026, n=177 society-years).</w:t>
      </w:r>
    </w:p>
    <w:p>
      <w:pPr>
        <w:pStyle w:val="Heading2"/>
        <w:spacing w:after="120" w:before="280"/>
      </w:pPr>
      <w:r>
        <w:t xml:space="preserve">2.1 Within-domain test (corporate, in- vs. out-of-sample)</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3069"/>
        <w:gridCol w:w="2979"/>
        <w:gridCol w:w="2979"/>
      </w:tblGrid>
      <w:tr>
        <w:trPr>
          <w:tblHeader/>
        </w:trPr>
        <w:tc>
          <w:tcPr>
            <w:tcW w:type="dxa" w:w="3069"/>
            <w:shd w:fill="2F3E4E" w:val="clear"/>
            <w:tcMar>
              <w:top w:type="dxa" w:w="80"/>
              <w:left w:type="dxa" w:w="100"/>
              <w:bottom w:type="dxa" w:w="80"/>
              <w:right w:type="dxa" w:w="100"/>
            </w:tcMar>
            <w:vAlign w:val="center"/>
          </w:tcPr>
          <w:p>
            <w:pPr>
              <w:jc w:val="center"/>
            </w:pPr>
            <w:r>
              <w:rPr>
                <w:b/>
                <w:bCs/>
                <w:color w:val="FFFFFF"/>
                <w:sz w:val="19"/>
                <w:szCs w:val="19"/>
              </w:rPr>
              <w:t xml:space="preserve">Statistic</w:t>
            </w:r>
          </w:p>
        </w:tc>
        <w:tc>
          <w:tcPr>
            <w:tcW w:type="dxa" w:w="2979"/>
            <w:shd w:fill="2F3E4E" w:val="clear"/>
            <w:tcMar>
              <w:top w:type="dxa" w:w="80"/>
              <w:left w:type="dxa" w:w="100"/>
              <w:bottom w:type="dxa" w:w="80"/>
              <w:right w:type="dxa" w:w="100"/>
            </w:tcMar>
            <w:vAlign w:val="center"/>
          </w:tcPr>
          <w:p>
            <w:pPr>
              <w:jc w:val="center"/>
            </w:pPr>
            <w:r>
              <w:rPr>
                <w:b/>
                <w:bCs/>
                <w:color w:val="FFFFFF"/>
                <w:sz w:val="19"/>
                <w:szCs w:val="19"/>
              </w:rPr>
              <w:t xml:space="preserve">Paper</w:t>
            </w:r>
          </w:p>
        </w:tc>
        <w:tc>
          <w:tcPr>
            <w:tcW w:type="dxa" w:w="2979"/>
            <w:shd w:fill="2F3E4E" w:val="clear"/>
            <w:tcMar>
              <w:top w:type="dxa" w:w="80"/>
              <w:left w:type="dxa" w:w="100"/>
              <w:bottom w:type="dxa" w:w="80"/>
              <w:right w:type="dxa" w:w="100"/>
            </w:tcMar>
            <w:vAlign w:val="center"/>
          </w:tcPr>
          <w:p>
            <w:pPr>
              <w:jc w:val="center"/>
            </w:pPr>
            <w:r>
              <w:rPr>
                <w:b/>
                <w:bCs/>
                <w:color w:val="FFFFFF"/>
                <w:sz w:val="19"/>
                <w:szCs w:val="19"/>
              </w:rPr>
              <w:t xml:space="preserve">Recomputed</w:t>
            </w:r>
          </w:p>
        </w:tc>
      </w:tr>
      <w:tr>
        <w:tc>
          <w:tcPr>
            <w:tcW w:type="dxa" w:w="3069"/>
            <w:tcMar>
              <w:top w:type="dxa" w:w="80"/>
              <w:left w:type="dxa" w:w="100"/>
              <w:bottom w:type="dxa" w:w="80"/>
              <w:right w:type="dxa" w:w="100"/>
            </w:tcMar>
            <w:vAlign w:val="center"/>
          </w:tcPr>
          <w:p>
            <w:pPr>
              <w:jc w:val="left"/>
            </w:pPr>
            <w:r>
              <w:rPr>
                <w:b w:val="false"/>
                <w:bCs w:val="false"/>
                <w:color w:val="000000"/>
                <w:sz w:val="19"/>
                <w:szCs w:val="19"/>
              </w:rPr>
              <w:t xml:space="preserve">r(B̄,λ₂), in-sample (n=84)</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0.988, p&lt;1e-67</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0.9875, p=1.5×10⁻⁶⁷</w:t>
            </w:r>
          </w:p>
        </w:tc>
      </w:tr>
      <w:tr>
        <w:tc>
          <w:tcPr>
            <w:tcW w:type="dxa" w:w="306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r(B̄,λ₂), out-of-sample (n=105)</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0.975, p&lt;1e-68</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0.9746, p=8.7×10⁻⁶⁹</w:t>
            </w:r>
          </w:p>
        </w:tc>
      </w:tr>
      <w:tr>
        <w:tc>
          <w:tcPr>
            <w:tcW w:type="dxa" w:w="3069"/>
            <w:tcMar>
              <w:top w:type="dxa" w:w="80"/>
              <w:left w:type="dxa" w:w="100"/>
              <w:bottom w:type="dxa" w:w="80"/>
              <w:right w:type="dxa" w:w="100"/>
            </w:tcMar>
            <w:vAlign w:val="center"/>
          </w:tcPr>
          <w:p>
            <w:pPr>
              <w:jc w:val="left"/>
            </w:pPr>
            <w:r>
              <w:rPr>
                <w:b w:val="false"/>
                <w:bCs w:val="false"/>
                <w:color w:val="000000"/>
                <w:sz w:val="19"/>
                <w:szCs w:val="19"/>
              </w:rPr>
              <w:t xml:space="preserve">Entity-level r range (9 firms)</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0.933–0.994</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0.9333–0.9941</w:t>
            </w:r>
          </w:p>
        </w:tc>
      </w:tr>
      <w:tr>
        <w:tc>
          <w:tcPr>
            <w:tcW w:type="dxa" w:w="306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Regression slope difference</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&lt; 7%</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6.43%</w:t>
            </w:r>
          </w:p>
        </w:tc>
      </w:tr>
      <w:tr>
        <w:tc>
          <w:tcPr>
            <w:tcW w:type="dxa" w:w="3069"/>
            <w:tcMar>
              <w:top w:type="dxa" w:w="80"/>
              <w:left w:type="dxa" w:w="100"/>
              <w:bottom w:type="dxa" w:w="80"/>
              <w:right w:type="dxa" w:w="100"/>
            </w:tcMar>
            <w:vAlign w:val="center"/>
          </w:tcPr>
          <w:p>
            <w:pPr>
              <w:jc w:val="left"/>
            </w:pPr>
            <w:r>
              <w:rPr>
                <w:b w:val="false"/>
                <w:bCs w:val="false"/>
                <w:color w:val="000000"/>
                <w:sz w:val="19"/>
                <w:szCs w:val="19"/>
              </w:rPr>
              <w:t xml:space="preserve">B̄: KS D / MW p / Cohen's d / shift</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0.214 / 0.011 / 0.380 / +10.4%</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identical to 3 d.p.</w:t>
            </w:r>
          </w:p>
        </w:tc>
      </w:tr>
      <w:tr>
        <w:tc>
          <w:tcPr>
            <w:tcW w:type="dxa" w:w="306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λ₂: KS D / MW p / Cohen's d / shift</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0.276 / 0.003 / 0.423 / +12.2%</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identical to 3 d.p.</w:t>
            </w:r>
          </w:p>
        </w:tc>
      </w:tr>
      <w:tr>
        <w:tc>
          <w:tcPr>
            <w:tcW w:type="dxa" w:w="3069"/>
            <w:tcMar>
              <w:top w:type="dxa" w:w="80"/>
              <w:left w:type="dxa" w:w="100"/>
              <w:bottom w:type="dxa" w:w="80"/>
              <w:right w:type="dxa" w:w="100"/>
            </w:tcMar>
            <w:vAlign w:val="center"/>
          </w:tcPr>
          <w:p>
            <w:pPr>
              <w:jc w:val="left"/>
            </w:pPr>
            <w:r>
              <w:rPr>
                <w:b w:val="false"/>
                <w:bCs w:val="false"/>
                <w:color w:val="000000"/>
                <w:sz w:val="19"/>
                <w:szCs w:val="19"/>
              </w:rPr>
              <w:t xml:space="preserve">Band containment, wide / tight (joint)</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98.1% / 27.6%</w:t>
            </w:r>
          </w:p>
        </w:tc>
        <w:tc>
          <w:tcPr>
            <w:tcW w:type="dxa" w:w="2979"/>
            <w:tcMar>
              <w:top w:type="dxa" w:w="80"/>
              <w:left w:type="dxa" w:w="100"/>
              <w:bottom w:type="dxa" w:w="80"/>
              <w:right w:type="dxa" w:w="100"/>
            </w:tcMar>
            <w:vAlign w:val="center"/>
          </w:tcPr>
          <w:p>
            <w:pPr>
              <w:jc w:val="left"/>
            </w:pPr>
            <w:r>
              <w:rPr>
                <w:b w:val="false"/>
                <w:bCs w:val="false"/>
                <w:color w:val="000000"/>
                <w:sz w:val="19"/>
                <w:szCs w:val="19"/>
              </w:rPr>
              <w:t xml:space="preserve">98.1% / 27.6%</w:t>
            </w:r>
          </w:p>
        </w:tc>
      </w:tr>
      <w:tr>
        <w:tc>
          <w:tcPr>
            <w:tcW w:type="dxa" w:w="306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Bottleneck concordance, in / out</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38.1% / 34.3%, p&gt;0.05</w:t>
            </w:r>
          </w:p>
        </w:tc>
        <w:tc>
          <w:tcPr>
            <w:tcW w:type="dxa" w:w="297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38.1% / 34.3%, p=0.697</w:t>
            </w:r>
          </w:p>
        </w:tc>
      </w:tr>
    </w:tbl>
    <w:p>
      <w:pPr>
        <w:spacing w:after="300" w:before="80"/>
        <w:jc w:val="center"/>
      </w:pPr>
      <w:r>
        <w:rPr>
          <w:i/>
          <w:iCs/>
          <w:color w:val="555555"/>
          <w:sz w:val="18"/>
          <w:szCs w:val="18"/>
        </w:rPr>
        <w:t xml:space="preserve">Table 2.1 — Section 1 reproduces in full, including the joint band-containment definition (B̄ and λ₂ simultaneously inside their in-sample IQR).</w:t>
      </w:r>
    </w:p>
    <w:p>
      <w:pPr>
        <w:pStyle w:val="Heading2"/>
        <w:spacing w:after="120" w:before="280"/>
      </w:pPr>
      <w:r>
        <w:t xml:space="preserve">2.2 Cross-domain test (Denmark, France vs. pooled corporate panel)</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3610"/>
        <w:gridCol w:w="2708"/>
        <w:gridCol w:w="2708"/>
      </w:tblGrid>
      <w:tr>
        <w:trPr>
          <w:tblHeader/>
        </w:trPr>
        <w:tc>
          <w:tcPr>
            <w:tcW w:type="dxa" w:w="3610"/>
            <w:shd w:fill="2F3E4E" w:val="clear"/>
            <w:tcMar>
              <w:top w:type="dxa" w:w="80"/>
              <w:left w:type="dxa" w:w="100"/>
              <w:bottom w:type="dxa" w:w="80"/>
              <w:right w:type="dxa" w:w="100"/>
            </w:tcMar>
            <w:vAlign w:val="center"/>
          </w:tcPr>
          <w:p>
            <w:pPr>
              <w:jc w:val="center"/>
            </w:pPr>
            <w:r>
              <w:rPr>
                <w:b/>
                <w:bCs/>
                <w:color w:val="FFFFFF"/>
                <w:sz w:val="19"/>
                <w:szCs w:val="19"/>
              </w:rPr>
              <w:t xml:space="preserve">Statistic</w:t>
            </w:r>
          </w:p>
        </w:tc>
        <w:tc>
          <w:tcPr>
            <w:tcW w:type="dxa" w:w="2708"/>
            <w:shd w:fill="2F3E4E" w:val="clear"/>
            <w:tcMar>
              <w:top w:type="dxa" w:w="80"/>
              <w:left w:type="dxa" w:w="100"/>
              <w:bottom w:type="dxa" w:w="80"/>
              <w:right w:type="dxa" w:w="100"/>
            </w:tcMar>
            <w:vAlign w:val="center"/>
          </w:tcPr>
          <w:p>
            <w:pPr>
              <w:jc w:val="center"/>
            </w:pPr>
            <w:r>
              <w:rPr>
                <w:b/>
                <w:bCs/>
                <w:color w:val="FFFFFF"/>
                <w:sz w:val="19"/>
                <w:szCs w:val="19"/>
              </w:rPr>
              <w:t xml:space="preserve">Paper</w:t>
            </w:r>
          </w:p>
        </w:tc>
        <w:tc>
          <w:tcPr>
            <w:tcW w:type="dxa" w:w="2708"/>
            <w:shd w:fill="2F3E4E" w:val="clear"/>
            <w:tcMar>
              <w:top w:type="dxa" w:w="80"/>
              <w:left w:type="dxa" w:w="100"/>
              <w:bottom w:type="dxa" w:w="80"/>
              <w:right w:type="dxa" w:w="100"/>
            </w:tcMar>
            <w:vAlign w:val="center"/>
          </w:tcPr>
          <w:p>
            <w:pPr>
              <w:jc w:val="center"/>
            </w:pPr>
            <w:r>
              <w:rPr>
                <w:b/>
                <w:bCs/>
                <w:color w:val="FFFFFF"/>
                <w:sz w:val="19"/>
                <w:szCs w:val="19"/>
              </w:rPr>
              <w:t xml:space="preserve">Recomputed</w:t>
            </w:r>
          </w:p>
        </w:tc>
      </w:tr>
      <w:tr>
        <w:tc>
          <w:tcPr>
            <w:tcW w:type="dxa" w:w="3610"/>
            <w:tcMar>
              <w:top w:type="dxa" w:w="80"/>
              <w:left w:type="dxa" w:w="100"/>
              <w:bottom w:type="dxa" w:w="80"/>
              <w:right w:type="dxa" w:w="100"/>
            </w:tcMar>
            <w:vAlign w:val="center"/>
          </w:tcPr>
          <w:p>
            <w:pPr>
              <w:jc w:val="left"/>
            </w:pPr>
            <w:r>
              <w:rPr>
                <w:b w:val="false"/>
                <w:bCs w:val="false"/>
                <w:color w:val="000000"/>
                <w:sz w:val="19"/>
                <w:szCs w:val="19"/>
              </w:rPr>
              <w:t xml:space="preserve">Denmark vs Corporate: KS D / Cohen's d</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0.853 / +2.25</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0.853 / 2.249</w:t>
            </w:r>
          </w:p>
        </w:tc>
      </w:tr>
      <w:tr>
        <w:tc>
          <w:tcPr>
            <w:tcW w:type="dxa" w:w="3610"/>
            <w:shd w:fill="F4F6F8" w:val="clear"/>
            <w:tcMar>
              <w:top w:type="dxa" w:w="80"/>
              <w:left w:type="dxa" w:w="100"/>
              <w:bottom w:type="dxa" w:w="80"/>
              <w:right w:type="dxa" w:w="100"/>
            </w:tcMar>
            <w:vAlign w:val="center"/>
          </w:tcPr>
          <w:p>
            <w:pPr>
              <w:jc w:val="left"/>
            </w:pPr>
            <w:r>
              <w:rPr>
                <w:b w:val="false"/>
                <w:bCs w:val="false"/>
                <w:color w:val="000000"/>
                <w:sz w:val="19"/>
                <w:szCs w:val="19"/>
              </w:rPr>
              <w:t xml:space="preserve">Denmark B̄ range / containment</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[0.223, 0.876] / 19.3%</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[0.2234, 0.8759] / 19.3%</w:t>
            </w:r>
          </w:p>
        </w:tc>
      </w:tr>
      <w:tr>
        <w:tc>
          <w:tcPr>
            <w:tcW w:type="dxa" w:w="3610"/>
            <w:tcMar>
              <w:top w:type="dxa" w:w="80"/>
              <w:left w:type="dxa" w:w="100"/>
              <w:bottom w:type="dxa" w:w="80"/>
              <w:right w:type="dxa" w:w="100"/>
            </w:tcMar>
            <w:vAlign w:val="center"/>
          </w:tcPr>
          <w:p>
            <w:pPr>
              <w:jc w:val="left"/>
            </w:pPr>
            <w:r>
              <w:rPr>
                <w:b w:val="false"/>
                <w:bCs w:val="false"/>
                <w:color w:val="000000"/>
                <w:sz w:val="19"/>
                <w:szCs w:val="19"/>
              </w:rPr>
              <w:t xml:space="preserve">France vs Corporate: KS D / p / MW p</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0.145 / 0.037 / 0.025</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0.1451 / 0.0373 / 0.0247</w:t>
            </w:r>
          </w:p>
        </w:tc>
      </w:tr>
      <w:tr>
        <w:tc>
          <w:tcPr>
            <w:tcW w:type="dxa" w:w="3610"/>
            <w:shd w:fill="F4F6F8" w:val="clear"/>
            <w:tcMar>
              <w:top w:type="dxa" w:w="80"/>
              <w:left w:type="dxa" w:w="100"/>
              <w:bottom w:type="dxa" w:w="80"/>
              <w:right w:type="dxa" w:w="100"/>
            </w:tcMar>
            <w:vAlign w:val="center"/>
          </w:tcPr>
          <w:p>
            <w:pPr>
              <w:jc w:val="left"/>
            </w:pPr>
            <w:r>
              <w:rPr>
                <w:b w:val="false"/>
                <w:bCs w:val="false"/>
                <w:color w:val="000000"/>
                <w:sz w:val="19"/>
                <w:szCs w:val="19"/>
              </w:rPr>
              <w:t xml:space="preserve">France B̄ range / containment</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[0.067, 0.491] / 94.9%</w:t>
            </w:r>
          </w:p>
        </w:tc>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[0.0670, 0.4913] / 94.9%*</w:t>
            </w:r>
          </w:p>
        </w:tc>
      </w:tr>
      <w:tr>
        <w:tc>
          <w:tcPr>
            <w:tcW w:type="dxa" w:w="3610"/>
            <w:tcMar>
              <w:top w:type="dxa" w:w="80"/>
              <w:left w:type="dxa" w:w="100"/>
              <w:bottom w:type="dxa" w:w="80"/>
              <w:right w:type="dxa" w:w="100"/>
            </w:tcMar>
            <w:vAlign w:val="center"/>
          </w:tcPr>
          <w:p>
            <w:pPr>
              <w:jc w:val="left"/>
            </w:pPr>
            <w:r>
              <w:rPr>
                <w:b w:val="false"/>
                <w:bCs w:val="false"/>
                <w:color w:val="000000"/>
                <w:sz w:val="19"/>
                <w:szCs w:val="19"/>
              </w:rPr>
              <w:t xml:space="preserve">Denmark vs France: KS D / Cohen's d</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0.808 / +2.36</w:t>
            </w:r>
          </w:p>
        </w:tc>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0.8075 / 2.359</w:t>
            </w:r>
          </w:p>
        </w:tc>
      </w:tr>
    </w:tbl>
    <w:p>
      <w:pPr>
        <w:spacing w:after="300" w:before="80"/>
        <w:jc w:val="center"/>
      </w:pPr>
      <w:r>
        <w:rPr>
          <w:i/>
          <w:iCs/>
          <w:color w:val="555555"/>
          <w:sz w:val="18"/>
          <w:szCs w:val="18"/>
        </w:rPr>
        <w:t xml:space="preserve">Table 2.2 — *Containment matches exactly once the comparator is the full 9-firm pooled corporate band (as the paper specifies), not the narrower 4-firm in-sample band.</w:t>
      </w:r>
    </w:p>
    <w:p>
      <w:pPr>
        <w:spacing w:after="160" w:line="276"/>
      </w:pPr>
      <w:r>
        <w:rPr>
          <w:b w:val="false"/>
          <w:bCs w:val="false"/>
          <w:i w:val="false"/>
          <w:iCs w:val="false"/>
          <w:sz w:val="22"/>
          <w:szCs w:val="22"/>
        </w:rPr>
        <w:t xml:space="preserve">Provenance note for the record: the France file initially supplied (a “cleaned” 1900–2026 extract, n=127) did not reproduce these figures — recomputed KS D was 0.169 vs. the claimed 0.145, and the Mann-Whitney test was not significant (p=0.436) against the paper's claimed p=0.025. The corrected full-vintage file (1850–2026, n=177) reproduces every figure above. The 13 society-years responsible for the difference cluster in 1905–1913 (Belle Époque, high B̄) and 1941–1942 (occupation, low B̄) — both outside the 1900–2026 window of the initially-supplied file. No correction to the paper itself is required; this is recorded so the correct file's provenance is on file.</w:t>
      </w:r>
    </w:p>
    <w:p>
      <w:pPr>
        <w:pStyle w:val="Heading2"/>
        <w:spacing w:after="120" w:before="280"/>
      </w:pPr>
      <w:r>
        <w:t xml:space="preserve">2.3 Item for correction</w:t>
      </w:r>
    </w:p>
    <w:p>
      <w:pPr>
        <w:pStyle w:val="ListParagraph"/>
        <w:numPr>
          <w:ilvl w:val="0"/>
          <w:numId w:val="2"/>
        </w:numPr>
        <w:spacing w:after="100" w:line="276"/>
      </w:pPr>
      <w:r>
        <w:rPr>
          <w:sz w:val="22"/>
          <w:szCs w:val="22"/>
        </w:rPr>
        <w:t xml:space="preserve">Internal inconsistency, falsification criterion F-P4.3: the criterion as stated is “if out-of-sample same-class DKS &gt; 0.20, class-pooling is invalid (triggered).” Section 1.2's own reported statistics — B̄ D=0.214 and λ₂ D=0.276 — both exceed 0.20. The status table nonetheless reads “F-P4.3: NOT TRIGGERED (within-class DKS &lt; 0.28),” but 0.28 is not the criterion's stated threshold. This does not overturn the paper's broader argument — P.4.3 (threshold relativity) is supported regardless — but the status-table justification for F-P4.3 specifically should be corrected or the criterion re-derived.</w:t>
      </w:r>
    </w:p>
    <w:p>
      <w:pPr>
        <w:spacing w:after="0" w:before="200"/>
        <w:jc w:val="center"/>
      </w:pPr>
      <w:r>
        <w:drawing>
          <wp:inline distT="0" distB="0" distL="0" distR="0">
            <wp:extent cx="4572000" cy="3838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72000" cy="3838575"/>
                    </a:xfrm>
                    <a:prstGeom prst="rect">
                      <a:avLst/>
                    </a:prstGeom>
                  </pic:spPr>
                </pic:pic>
              </a:graphicData>
            </a:graphic>
          </wp:inline>
        </w:drawing>
      </w:r>
    </w:p>
    <w:p>
      <w:pPr>
        <w:spacing w:after="300" w:before="80"/>
        <w:jc w:val="center"/>
      </w:pPr>
      <w:r>
        <w:rPr>
          <w:i/>
          <w:iCs/>
          <w:color w:val="555555"/>
          <w:sz w:val="18"/>
          <w:szCs w:val="18"/>
        </w:rPr>
        <w:t xml:space="preserve">Figure 2 — Structural portability (tight linear coupling) alongside the parametric shift (out-of-sample points sit systematically higher).</w:t>
      </w:r>
    </w:p>
    <w:p>
      <w:pPr>
        <w:spacing w:after="0" w:before="200"/>
        <w:jc w:val="center"/>
      </w:pPr>
      <w:r>
        <w:drawing>
          <wp:inline distT="0" distB="0" distL="0" distR="0">
            <wp:extent cx="4953000" cy="3181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3181350"/>
                    </a:xfrm>
                    <a:prstGeom prst="rect">
                      <a:avLst/>
                    </a:prstGeom>
                  </pic:spPr>
                </pic:pic>
              </a:graphicData>
            </a:graphic>
          </wp:inline>
        </w:drawing>
      </w:r>
    </w:p>
    <w:p>
      <w:pPr>
        <w:spacing w:after="300" w:before="80"/>
        <w:jc w:val="center"/>
      </w:pPr>
      <w:r>
        <w:rPr>
          <w:i/>
          <w:iCs/>
          <w:color w:val="555555"/>
          <w:sz w:val="18"/>
          <w:szCs w:val="18"/>
        </w:rPr>
        <w:t xml:space="preserve">Figure 3 — Denmark separates cleanly from the corporate distribution; France, on its correct 1850–2026 vintage, overlaps almost entirely.</w:t>
      </w:r>
    </w:p>
    <w:p>
      <w:r>
        <w:br w:type="page"/>
      </w:r>
    </w:p>
    <w:p>
      <w:pPr>
        <w:pStyle w:val="Heading1"/>
        <w:spacing w:after="160" w:before="360"/>
      </w:pPr>
      <w:r>
        <w:t xml:space="preserve">3. The Soil-Bond Index (ηsoil) — Six-Society Validation</w:t>
      </w:r>
    </w:p>
    <w:p>
      <w:pPr>
        <w:spacing w:after="160" w:line="276"/>
      </w:pPr>
      <w:r>
        <w:rPr>
          <w:b w:val="false"/>
          <w:bCs w:val="false"/>
          <w:i w:val="false"/>
          <w:iCs w:val="false"/>
          <w:sz w:val="22"/>
          <w:szCs w:val="22"/>
        </w:rPr>
        <w:t xml:space="preserve">Source data: Denmark_ENS_Bij_v10.csv (1752–2025, n=114), Iran_ENS_Bij_v10.csv (1875–2026, n=152), USA_cam5_1996_2026_cleaned_Bij_v10.csv (1996–2026, n=31), and — following provenance corrections for all three — China_CAMS_1900_2026_cleaned_Bij_v10.csv (n=127), Germany_CAMS_1900_2026_cleaned_Bij_v10.csv (n=86), and Australia_2026_cleaned_Bij_v10.csv (1895–2026, n=131).</w:t>
      </w:r>
    </w:p>
    <w:p>
      <w:pPr>
        <w:spacing w:after="160" w:line="276"/>
      </w:pPr>
      <w:r>
        <w:rPr>
          <w:b w:val="false"/>
          <w:bCs w:val="false"/>
          <w:i w:val="false"/>
          <w:iCs w:val="false"/>
          <w:sz w:val="22"/>
          <w:szCs w:val="22"/>
        </w:rPr>
        <w:t xml:space="preserve">Provenance note for the record: initially-supplied candidates for China, Germany, and Australia did not reproduce the paper's Table 2 statistics — in Germany's case the crisis-discrimination significance reversed entirely (claimed t=10.35, p&lt;0.0001; recomputed from the wrong file, t=0.97, p=0.34), and in Australia's case σV ran at roughly half the claimed scale throughout. Corrected files, each matching the paper's stated n exactly, were subsequently supplied and are used for every figure below.</w:t>
      </w:r>
    </w:p>
    <w:p>
      <w:pPr>
        <w:pStyle w:val="Heading2"/>
        <w:spacing w:after="120" w:before="280"/>
      </w:pPr>
      <w:r>
        <w:t xml:space="preserve">3.1 Validity screening</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2708"/>
        <w:gridCol w:w="3159"/>
        <w:gridCol w:w="3159"/>
      </w:tblGrid>
      <w:tr>
        <w:trPr>
          <w:tblHeader/>
        </w:trPr>
        <w:tc>
          <w:tcPr>
            <w:tcW w:type="dxa" w:w="2708"/>
            <w:shd w:fill="2F3E4E" w:val="clear"/>
            <w:tcMar>
              <w:top w:type="dxa" w:w="80"/>
              <w:left w:type="dxa" w:w="100"/>
              <w:bottom w:type="dxa" w:w="80"/>
              <w:right w:type="dxa" w:w="100"/>
            </w:tcMar>
            <w:vAlign w:val="center"/>
          </w:tcPr>
          <w:p>
            <w:pPr>
              <w:jc w:val="center"/>
            </w:pPr>
            <w:r>
              <w:rPr>
                <w:b/>
                <w:bCs/>
                <w:color w:val="FFFFFF"/>
                <w:sz w:val="19"/>
                <w:szCs w:val="19"/>
              </w:rPr>
              <w:t xml:space="preserve">Precondition</w:t>
            </w:r>
          </w:p>
        </w:tc>
        <w:tc>
          <w:tcPr>
            <w:tcW w:type="dxa" w:w="3159"/>
            <w:shd w:fill="2F3E4E" w:val="clear"/>
            <w:tcMar>
              <w:top w:type="dxa" w:w="80"/>
              <w:left w:type="dxa" w:w="100"/>
              <w:bottom w:type="dxa" w:w="80"/>
              <w:right w:type="dxa" w:w="100"/>
            </w:tcMar>
            <w:vAlign w:val="center"/>
          </w:tcPr>
          <w:p>
            <w:pPr>
              <w:jc w:val="center"/>
            </w:pPr>
            <w:r>
              <w:rPr>
                <w:b/>
                <w:bCs/>
                <w:color w:val="FFFFFF"/>
                <w:sz w:val="19"/>
                <w:szCs w:val="19"/>
              </w:rPr>
              <w:t xml:space="preserve">Paper (Denmark)</w:t>
            </w:r>
          </w:p>
        </w:tc>
        <w:tc>
          <w:tcPr>
            <w:tcW w:type="dxa" w:w="3159"/>
            <w:shd w:fill="2F3E4E" w:val="clear"/>
            <w:tcMar>
              <w:top w:type="dxa" w:w="80"/>
              <w:left w:type="dxa" w:w="100"/>
              <w:bottom w:type="dxa" w:w="80"/>
              <w:right w:type="dxa" w:w="100"/>
            </w:tcMar>
            <w:vAlign w:val="center"/>
          </w:tcPr>
          <w:p>
            <w:pPr>
              <w:jc w:val="center"/>
            </w:pPr>
            <w:r>
              <w:rPr>
                <w:b/>
                <w:bCs/>
                <w:color w:val="FFFFFF"/>
                <w:sz w:val="19"/>
                <w:szCs w:val="19"/>
              </w:rPr>
              <w:t xml:space="preserve">Recomputed (Denmark)</w:t>
            </w:r>
          </w:p>
        </w:tc>
      </w:tr>
      <w:tr>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P1: S_Hands = 0 rate</w:t>
            </w:r>
          </w:p>
        </w:tc>
        <w:tc>
          <w:tcPr>
            <w:tcW w:type="dxa" w:w="3159"/>
            <w:tcMar>
              <w:top w:type="dxa" w:w="80"/>
              <w:left w:type="dxa" w:w="100"/>
              <w:bottom w:type="dxa" w:w="80"/>
              <w:right w:type="dxa" w:w="100"/>
            </w:tcMar>
            <w:vAlign w:val="center"/>
          </w:tcPr>
          <w:p>
            <w:pPr>
              <w:jc w:val="left"/>
            </w:pPr>
            <w:r>
              <w:rPr>
                <w:b w:val="false"/>
                <w:bCs w:val="false"/>
                <w:color w:val="000000"/>
                <w:sz w:val="19"/>
                <w:szCs w:val="19"/>
              </w:rPr>
              <w:t xml:space="preserve">105/114 (92.1%)</w:t>
            </w:r>
          </w:p>
        </w:tc>
        <w:tc>
          <w:tcPr>
            <w:tcW w:type="dxa" w:w="3159"/>
            <w:tcMar>
              <w:top w:type="dxa" w:w="80"/>
              <w:left w:type="dxa" w:w="100"/>
              <w:bottom w:type="dxa" w:w="80"/>
              <w:right w:type="dxa" w:w="100"/>
            </w:tcMar>
            <w:vAlign w:val="center"/>
          </w:tcPr>
          <w:p>
            <w:pPr>
              <w:jc w:val="left"/>
            </w:pPr>
            <w:r>
              <w:rPr>
                <w:b w:val="false"/>
                <w:bCs w:val="false"/>
                <w:color w:val="000000"/>
                <w:sz w:val="19"/>
                <w:szCs w:val="19"/>
              </w:rPr>
              <w:t xml:space="preserve">105/114 (92.1%)</w:t>
            </w:r>
          </w:p>
        </w:tc>
      </w:tr>
      <w:tr>
        <w:tc>
          <w:tcPr>
            <w:tcW w:type="dxa" w:w="2708"/>
            <w:shd w:fill="F4F6F8" w:val="clear"/>
            <w:tcMar>
              <w:top w:type="dxa" w:w="80"/>
              <w:left w:type="dxa" w:w="100"/>
              <w:bottom w:type="dxa" w:w="80"/>
              <w:right w:type="dxa" w:w="100"/>
            </w:tcMar>
            <w:vAlign w:val="center"/>
          </w:tcPr>
          <w:p>
            <w:pPr>
              <w:jc w:val="left"/>
            </w:pPr>
            <w:r>
              <w:rPr>
                <w:b w:val="false"/>
                <w:bCs w:val="false"/>
                <w:color w:val="000000"/>
                <w:sz w:val="19"/>
                <w:szCs w:val="19"/>
              </w:rPr>
              <w:t xml:space="preserve">P2: S_Hands range</w:t>
            </w:r>
          </w:p>
        </w:tc>
        <w:tc>
          <w:tcPr>
            <w:tcW w:type="dxa" w:w="315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“0–8”</w:t>
            </w:r>
          </w:p>
        </w:tc>
        <w:tc>
          <w:tcPr>
            <w:tcW w:type="dxa" w:w="3159"/>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0.0–4.0 (values are 0, 1, or 4 only)</w:t>
            </w:r>
          </w:p>
        </w:tc>
      </w:tr>
      <w:tr>
        <w:tc>
          <w:tcPr>
            <w:tcW w:type="dxa" w:w="2708"/>
            <w:tcMar>
              <w:top w:type="dxa" w:w="80"/>
              <w:left w:type="dxa" w:w="100"/>
              <w:bottom w:type="dxa" w:w="80"/>
              <w:right w:type="dxa" w:w="100"/>
            </w:tcMar>
            <w:vAlign w:val="center"/>
          </w:tcPr>
          <w:p>
            <w:pPr>
              <w:jc w:val="left"/>
            </w:pPr>
            <w:r>
              <w:rPr>
                <w:b w:val="false"/>
                <w:bCs w:val="false"/>
                <w:color w:val="000000"/>
                <w:sz w:val="19"/>
                <w:szCs w:val="19"/>
              </w:rPr>
              <w:t xml:space="preserve">P3: σV range</w:t>
            </w:r>
          </w:p>
        </w:tc>
        <w:tc>
          <w:tcPr>
            <w:tcW w:type="dxa" w:w="3159"/>
            <w:tcMar>
              <w:top w:type="dxa" w:w="80"/>
              <w:left w:type="dxa" w:w="100"/>
              <w:bottom w:type="dxa" w:w="80"/>
              <w:right w:type="dxa" w:w="100"/>
            </w:tcMar>
            <w:vAlign w:val="center"/>
          </w:tcPr>
          <w:p>
            <w:pPr>
              <w:jc w:val="left"/>
            </w:pPr>
            <w:r>
              <w:rPr>
                <w:b w:val="false"/>
                <w:bCs w:val="false"/>
                <w:color w:val="000000"/>
                <w:sz w:val="19"/>
                <w:szCs w:val="19"/>
              </w:rPr>
              <w:t xml:space="preserve">0.66–4.12</w:t>
            </w:r>
          </w:p>
        </w:tc>
        <w:tc>
          <w:tcPr>
            <w:tcW w:type="dxa" w:w="3159"/>
            <w:tcMar>
              <w:top w:type="dxa" w:w="80"/>
              <w:left w:type="dxa" w:w="100"/>
              <w:bottom w:type="dxa" w:w="80"/>
              <w:right w:type="dxa" w:w="100"/>
            </w:tcMar>
            <w:vAlign w:val="center"/>
          </w:tcPr>
          <w:p>
            <w:pPr>
              <w:jc w:val="left"/>
            </w:pPr>
            <w:r>
              <w:rPr>
                <w:b w:val="false"/>
                <w:bCs w:val="false"/>
                <w:color w:val="000000"/>
                <w:sz w:val="19"/>
                <w:szCs w:val="19"/>
              </w:rPr>
              <w:t xml:space="preserve">0.66–4.12</w:t>
            </w:r>
          </w:p>
        </w:tc>
      </w:tr>
    </w:tbl>
    <w:p>
      <w:pPr>
        <w:spacing w:after="300" w:before="80"/>
        <w:jc w:val="center"/>
      </w:pPr>
      <w:r>
        <w:rPr>
          <w:i/>
          <w:iCs/>
          <w:color w:val="555555"/>
          <w:sz w:val="18"/>
          <w:szCs w:val="18"/>
        </w:rPr>
        <w:t xml:space="preserve">Table 3.1 — P1 and P3 confirmed exactly. P2's stated range does not match the data behind it (see §3.5).</w:t>
      </w:r>
    </w:p>
    <w:p>
      <w:pPr>
        <w:pStyle w:val="Heading2"/>
        <w:spacing w:after="120" w:before="280"/>
      </w:pPr>
      <w:r>
        <w:t xml:space="preserve">3.2 Crisis discrimination (H1) and structural portability (H2)</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1083"/>
        <w:gridCol w:w="2166"/>
        <w:gridCol w:w="1444"/>
        <w:gridCol w:w="1444"/>
        <w:gridCol w:w="1444"/>
        <w:gridCol w:w="1444"/>
      </w:tblGrid>
      <w:tr>
        <w:trPr>
          <w:tblHeader/>
        </w:trPr>
        <w:tc>
          <w:tcPr>
            <w:tcW w:type="dxa" w:w="1083"/>
            <w:shd w:fill="2F3E4E" w:val="clear"/>
            <w:tcMar>
              <w:top w:type="dxa" w:w="80"/>
              <w:left w:type="dxa" w:w="100"/>
              <w:bottom w:type="dxa" w:w="80"/>
              <w:right w:type="dxa" w:w="100"/>
            </w:tcMar>
            <w:vAlign w:val="center"/>
          </w:tcPr>
          <w:p>
            <w:pPr>
              <w:jc w:val="center"/>
            </w:pPr>
            <w:r>
              <w:rPr>
                <w:b/>
                <w:bCs/>
                <w:color w:val="FFFFFF"/>
                <w:sz w:val="19"/>
                <w:szCs w:val="19"/>
              </w:rPr>
              <w:t xml:space="preserve">Society</w:t>
            </w:r>
          </w:p>
        </w:tc>
        <w:tc>
          <w:tcPr>
            <w:tcW w:type="dxa" w:w="2166"/>
            <w:shd w:fill="2F3E4E" w:val="clear"/>
            <w:tcMar>
              <w:top w:type="dxa" w:w="80"/>
              <w:left w:type="dxa" w:w="100"/>
              <w:bottom w:type="dxa" w:w="80"/>
              <w:right w:type="dxa" w:w="100"/>
            </w:tcMar>
            <w:vAlign w:val="center"/>
          </w:tcPr>
          <w:p>
            <w:pPr>
              <w:jc w:val="center"/>
            </w:pPr>
            <w:r>
              <w:rPr>
                <w:b/>
                <w:bCs/>
                <w:color w:val="FFFFFF"/>
                <w:sz w:val="19"/>
                <w:szCs w:val="19"/>
              </w:rPr>
              <w:t xml:space="preserve">Baseline mean ηsoil: paper / recomputed</w:t>
            </w:r>
          </w:p>
        </w:tc>
        <w:tc>
          <w:tcPr>
            <w:tcW w:type="dxa" w:w="1444"/>
            <w:shd w:fill="2F3E4E" w:val="clear"/>
            <w:tcMar>
              <w:top w:type="dxa" w:w="80"/>
              <w:left w:type="dxa" w:w="100"/>
              <w:bottom w:type="dxa" w:w="80"/>
              <w:right w:type="dxa" w:w="100"/>
            </w:tcMar>
            <w:vAlign w:val="center"/>
          </w:tcPr>
          <w:p>
            <w:pPr>
              <w:jc w:val="center"/>
            </w:pPr>
            <w:r>
              <w:rPr>
                <w:b/>
                <w:bCs/>
                <w:color w:val="FFFFFF"/>
                <w:sz w:val="19"/>
                <w:szCs w:val="19"/>
              </w:rPr>
              <w:t xml:space="preserve">Stable/crisis σV: paper</w:t>
            </w:r>
          </w:p>
        </w:tc>
        <w:tc>
          <w:tcPr>
            <w:tcW w:type="dxa" w:w="1444"/>
            <w:shd w:fill="2F3E4E" w:val="clear"/>
            <w:tcMar>
              <w:top w:type="dxa" w:w="80"/>
              <w:left w:type="dxa" w:w="100"/>
              <w:bottom w:type="dxa" w:w="80"/>
              <w:right w:type="dxa" w:w="100"/>
            </w:tcMar>
            <w:vAlign w:val="center"/>
          </w:tcPr>
          <w:p>
            <w:pPr>
              <w:jc w:val="center"/>
            </w:pPr>
            <w:r>
              <w:rPr>
                <w:b/>
                <w:bCs/>
                <w:color w:val="FFFFFF"/>
                <w:sz w:val="19"/>
                <w:szCs w:val="19"/>
              </w:rPr>
              <w:t xml:space="preserve">Stable/crisis σV: recomputed</w:t>
            </w:r>
          </w:p>
        </w:tc>
        <w:tc>
          <w:tcPr>
            <w:tcW w:type="dxa" w:w="1444"/>
            <w:shd w:fill="2F3E4E" w:val="clear"/>
            <w:tcMar>
              <w:top w:type="dxa" w:w="80"/>
              <w:left w:type="dxa" w:w="100"/>
              <w:bottom w:type="dxa" w:w="80"/>
              <w:right w:type="dxa" w:w="100"/>
            </w:tcMar>
            <w:vAlign w:val="center"/>
          </w:tcPr>
          <w:p>
            <w:pPr>
              <w:jc w:val="center"/>
            </w:pPr>
            <w:r>
              <w:rPr>
                <w:b/>
                <w:bCs/>
                <w:color w:val="FFFFFF"/>
                <w:sz w:val="19"/>
                <w:szCs w:val="19"/>
              </w:rPr>
              <w:t xml:space="preserve">t(σV), p: paper</w:t>
            </w:r>
          </w:p>
        </w:tc>
        <w:tc>
          <w:tcPr>
            <w:tcW w:type="dxa" w:w="1444"/>
            <w:shd w:fill="2F3E4E" w:val="clear"/>
            <w:tcMar>
              <w:top w:type="dxa" w:w="80"/>
              <w:left w:type="dxa" w:w="100"/>
              <w:bottom w:type="dxa" w:w="80"/>
              <w:right w:type="dxa" w:w="100"/>
            </w:tcMar>
            <w:vAlign w:val="center"/>
          </w:tcPr>
          <w:p>
            <w:pPr>
              <w:jc w:val="center"/>
            </w:pPr>
            <w:r>
              <w:rPr>
                <w:b/>
                <w:bCs/>
                <w:color w:val="FFFFFF"/>
                <w:sz w:val="19"/>
                <w:szCs w:val="19"/>
              </w:rPr>
              <w:t xml:space="preserve">t(σV), p: recomputed</w:t>
            </w:r>
          </w:p>
        </w:tc>
      </w:tr>
      <w:tr>
        <w:tc>
          <w:tcPr>
            <w:tcW w:type="dxa" w:w="1083"/>
            <w:tcMar>
              <w:top w:type="dxa" w:w="80"/>
              <w:left w:type="dxa" w:w="100"/>
              <w:bottom w:type="dxa" w:w="80"/>
              <w:right w:type="dxa" w:w="100"/>
            </w:tcMar>
            <w:vAlign w:val="center"/>
          </w:tcPr>
          <w:p>
            <w:pPr>
              <w:jc w:val="left"/>
            </w:pPr>
            <w:r>
              <w:rPr>
                <w:b w:val="false"/>
                <w:bCs w:val="false"/>
                <w:color w:val="000000"/>
                <w:sz w:val="19"/>
                <w:szCs w:val="19"/>
              </w:rPr>
              <w:t xml:space="preserve">China</w:t>
            </w:r>
          </w:p>
        </w:tc>
        <w:tc>
          <w:tcPr>
            <w:tcW w:type="dxa" w:w="2166"/>
            <w:tcMar>
              <w:top w:type="dxa" w:w="80"/>
              <w:left w:type="dxa" w:w="100"/>
              <w:bottom w:type="dxa" w:w="80"/>
              <w:right w:type="dxa" w:w="100"/>
            </w:tcMar>
            <w:vAlign w:val="center"/>
          </w:tcPr>
          <w:p>
            <w:pPr>
              <w:jc w:val="left"/>
            </w:pPr>
            <w:r>
              <w:rPr>
                <w:b w:val="false"/>
                <w:bCs w:val="false"/>
                <w:color w:val="000000"/>
                <w:sz w:val="19"/>
                <w:szCs w:val="19"/>
              </w:rPr>
              <w:t xml:space="preserve">0.081 / 0.0811</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2.10 / 2.59</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2.10 / 2.59</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−2.46, 0.017</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−2.42, 0.0171</w:t>
            </w:r>
          </w:p>
        </w:tc>
      </w:tr>
      <w:tr>
        <w:tc>
          <w:tcPr>
            <w:tcW w:type="dxa" w:w="1083"/>
            <w:shd w:fill="F4F6F8" w:val="clear"/>
            <w:tcMar>
              <w:top w:type="dxa" w:w="80"/>
              <w:left w:type="dxa" w:w="100"/>
              <w:bottom w:type="dxa" w:w="80"/>
              <w:right w:type="dxa" w:w="100"/>
            </w:tcMar>
            <w:vAlign w:val="center"/>
          </w:tcPr>
          <w:p>
            <w:pPr>
              <w:jc w:val="left"/>
            </w:pPr>
            <w:r>
              <w:rPr>
                <w:b w:val="false"/>
                <w:bCs w:val="false"/>
                <w:color w:val="000000"/>
                <w:sz w:val="19"/>
                <w:szCs w:val="19"/>
              </w:rPr>
              <w:t xml:space="preserve">Germany</w:t>
            </w:r>
          </w:p>
        </w:tc>
        <w:tc>
          <w:tcPr>
            <w:tcW w:type="dxa" w:w="2166"/>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0.057 / 0.0567</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2.37 / 3.33</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2.37 / 3.33</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−6.52, &lt;0.0001</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−7.48, &lt;0.0001</w:t>
            </w:r>
          </w:p>
        </w:tc>
      </w:tr>
      <w:tr>
        <w:tc>
          <w:tcPr>
            <w:tcW w:type="dxa" w:w="1083"/>
            <w:tcMar>
              <w:top w:type="dxa" w:w="80"/>
              <w:left w:type="dxa" w:w="100"/>
              <w:bottom w:type="dxa" w:w="80"/>
              <w:right w:type="dxa" w:w="100"/>
            </w:tcMar>
            <w:vAlign w:val="center"/>
          </w:tcPr>
          <w:p>
            <w:pPr>
              <w:jc w:val="left"/>
            </w:pPr>
            <w:r>
              <w:rPr>
                <w:b w:val="false"/>
                <w:bCs w:val="false"/>
                <w:color w:val="000000"/>
                <w:sz w:val="19"/>
                <w:szCs w:val="19"/>
              </w:rPr>
              <w:t xml:space="preserve">Australia</w:t>
            </w:r>
          </w:p>
        </w:tc>
        <w:tc>
          <w:tcPr>
            <w:tcW w:type="dxa" w:w="2166"/>
            <w:tcMar>
              <w:top w:type="dxa" w:w="80"/>
              <w:left w:type="dxa" w:w="100"/>
              <w:bottom w:type="dxa" w:w="80"/>
              <w:right w:type="dxa" w:w="100"/>
            </w:tcMar>
            <w:vAlign w:val="center"/>
          </w:tcPr>
          <w:p>
            <w:pPr>
              <w:jc w:val="left"/>
            </w:pPr>
            <w:r>
              <w:rPr>
                <w:b w:val="false"/>
                <w:bCs w:val="false"/>
                <w:color w:val="000000"/>
                <w:sz w:val="19"/>
                <w:szCs w:val="19"/>
              </w:rPr>
              <w:t xml:space="preserve">0.074 / 0.0712</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3.16 / 3.93</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3.16 / 3.93</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−3.71, 0.0005</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−3.56, 0.0005</w:t>
            </w:r>
          </w:p>
        </w:tc>
      </w:tr>
      <w:tr>
        <w:tc>
          <w:tcPr>
            <w:tcW w:type="dxa" w:w="1083"/>
            <w:shd w:fill="F4F6F8" w:val="clear"/>
            <w:tcMar>
              <w:top w:type="dxa" w:w="80"/>
              <w:left w:type="dxa" w:w="100"/>
              <w:bottom w:type="dxa" w:w="80"/>
              <w:right w:type="dxa" w:w="100"/>
            </w:tcMar>
            <w:vAlign w:val="center"/>
          </w:tcPr>
          <w:p>
            <w:pPr>
              <w:jc w:val="left"/>
            </w:pPr>
            <w:r>
              <w:rPr>
                <w:b w:val="false"/>
                <w:bCs w:val="false"/>
                <w:color w:val="000000"/>
                <w:sz w:val="19"/>
                <w:szCs w:val="19"/>
              </w:rPr>
              <w:t xml:space="preserve">Iran</w:t>
            </w:r>
          </w:p>
        </w:tc>
        <w:tc>
          <w:tcPr>
            <w:tcW w:type="dxa" w:w="2166"/>
            <w:shd w:fill="F4F6F8" w:val="clear"/>
            <w:tcMar>
              <w:top w:type="dxa" w:w="80"/>
              <w:left w:type="dxa" w:w="100"/>
              <w:bottom w:type="dxa" w:w="80"/>
              <w:right w:type="dxa" w:w="100"/>
            </w:tcMar>
            <w:vAlign w:val="center"/>
          </w:tcPr>
          <w:p>
            <w:pPr>
              <w:jc w:val="left"/>
            </w:pPr>
            <w:r>
              <w:rPr>
                <w:b w:val="false"/>
                <w:bCs w:val="false"/>
                <w:color w:val="000000"/>
                <w:sz w:val="19"/>
                <w:szCs w:val="19"/>
              </w:rPr>
              <w:t xml:space="preserve">0.044 / 0.0456</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1.64 / 2.38</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1.64 / 2.38</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−6.52, &lt;0.0001</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−6.52, &lt;0.0001</w:t>
            </w:r>
          </w:p>
        </w:tc>
      </w:tr>
      <w:tr>
        <w:tc>
          <w:tcPr>
            <w:tcW w:type="dxa" w:w="1083"/>
            <w:tcMar>
              <w:top w:type="dxa" w:w="80"/>
              <w:left w:type="dxa" w:w="100"/>
              <w:bottom w:type="dxa" w:w="80"/>
              <w:right w:type="dxa" w:w="100"/>
            </w:tcMar>
            <w:vAlign w:val="center"/>
          </w:tcPr>
          <w:p>
            <w:pPr>
              <w:jc w:val="left"/>
            </w:pPr>
            <w:r>
              <w:rPr>
                <w:b w:val="false"/>
                <w:bCs w:val="false"/>
                <w:color w:val="000000"/>
                <w:sz w:val="19"/>
                <w:szCs w:val="19"/>
              </w:rPr>
              <w:t xml:space="preserve">USA</w:t>
            </w:r>
          </w:p>
        </w:tc>
        <w:tc>
          <w:tcPr>
            <w:tcW w:type="dxa" w:w="2166"/>
            <w:tcMar>
              <w:top w:type="dxa" w:w="80"/>
              <w:left w:type="dxa" w:w="100"/>
              <w:bottom w:type="dxa" w:w="80"/>
              <w:right w:type="dxa" w:w="100"/>
            </w:tcMar>
            <w:vAlign w:val="center"/>
          </w:tcPr>
          <w:p>
            <w:pPr>
              <w:jc w:val="left"/>
            </w:pPr>
            <w:r>
              <w:rPr>
                <w:b w:val="false"/>
                <w:bCs w:val="false"/>
                <w:color w:val="000000"/>
                <w:sz w:val="19"/>
                <w:szCs w:val="19"/>
              </w:rPr>
              <w:t xml:space="preserve">0.038 / 0.0309</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2.21 / 2.15</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2.21 / 2.15</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0.18, 0.861</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0.18, 0.858</w:t>
            </w:r>
          </w:p>
        </w:tc>
      </w:tr>
    </w:tbl>
    <w:p>
      <w:pPr>
        <w:spacing w:after="300" w:before="80"/>
        <w:jc w:val="center"/>
      </w:pPr>
      <w:r>
        <w:rPr>
          <w:i/>
          <w:iCs/>
          <w:color w:val="555555"/>
          <w:sz w:val="18"/>
          <w:szCs w:val="18"/>
        </w:rPr>
        <w:t xml:space="preserve">Table 3.2 — Every stable/crisis σV mean reproduces exactly across all five valid societies; every t(σV) reproduces to the same order of significance and sign. Baseline ηsoil means match closely to exactly.</w:t>
      </w:r>
    </w:p>
    <w:p>
      <w:pPr>
        <w:spacing w:after="160" w:line="276"/>
      </w:pPr>
      <w:r>
        <w:rPr>
          <w:b w:val="false"/>
          <w:bCs w:val="false"/>
          <w:i w:val="false"/>
          <w:iCs w:val="false"/>
          <w:sz w:val="22"/>
          <w:szCs w:val="22"/>
        </w:rPr>
        <w:t xml:space="preserve">H1 (crisis discrimination) and H2 (structural portability with parametric relativity) are both confirmed across all five valid societies on the corrected files: crisis years show significantly higher σV and lower ηsoil everywhere except the USA, where the paper's own low-power caveat (n=3 crisis years) is independently confirmed rather than contradicted.</w:t>
      </w:r>
    </w:p>
    <w:p>
      <w:pPr>
        <w:pStyle w:val="Heading2"/>
        <w:spacing w:after="120" w:before="280"/>
      </w:pPr>
      <w:r>
        <w:t xml:space="preserve">3.3 Regime attractors (H3)</w:t>
      </w:r>
    </w:p>
    <w:p>
      <w:pPr>
        <w:spacing w:after="160" w:line="276"/>
      </w:pPr>
      <w:r>
        <w:rPr>
          <w:b w:val="false"/>
          <w:bCs w:val="false"/>
          <w:i w:val="false"/>
          <w:iCs w:val="false"/>
          <w:sz w:val="22"/>
          <w:szCs w:val="22"/>
        </w:rPr>
        <w:t xml:space="preserve">All three named regimes are now independently supported by the corrected files:</w:t>
      </w:r>
    </w:p>
    <w:p>
      <w:pPr>
        <w:pStyle w:val="ListParagraph"/>
        <w:numPr>
          <w:ilvl w:val="0"/>
          <w:numId w:val="2"/>
        </w:numPr>
        <w:spacing w:after="100" w:line="276"/>
      </w:pPr>
      <w:r>
        <w:rPr>
          <w:sz w:val="22"/>
          <w:szCs w:val="22"/>
        </w:rPr>
        <w:t xml:space="preserve">Fracture (Iran): 1995 — ηsoil=0.212, σV=0.33 — reproduces to four decimal places (0.2120, 0.3307).</w:t>
      </w:r>
    </w:p>
    <w:p>
      <w:pPr>
        <w:pStyle w:val="ListParagraph"/>
        <w:numPr>
          <w:ilvl w:val="0"/>
          <w:numId w:val="2"/>
        </w:numPr>
        <w:spacing w:after="100" w:line="276"/>
      </w:pPr>
      <w:r>
        <w:rPr>
          <w:sz w:val="22"/>
          <w:szCs w:val="22"/>
        </w:rPr>
        <w:t xml:space="preserve">Coherent Collapse (USA): 2020 — V̄=2.7, σV=1.79, V_min=0.3 — reproduces exactly (2.7125, 1.7927, 0.3); mean S_Hands=7.15 also reproduces exactly.</w:t>
      </w:r>
    </w:p>
    <w:p>
      <w:pPr>
        <w:pStyle w:val="ListParagraph"/>
        <w:numPr>
          <w:ilvl w:val="0"/>
          <w:numId w:val="2"/>
        </w:numPr>
        <w:spacing w:after="100" w:line="276"/>
      </w:pPr>
      <w:r>
        <w:rPr>
          <w:sz w:val="22"/>
          <w:szCs w:val="22"/>
        </w:rPr>
        <w:t xml:space="preserve">Dispersive Resilience (Australia): stable/crisis σV of 3.16/3.93 and both t-test p-values (0.0005 for σV, 0.0004 for ηsoil) reproduce to within rounding on the corrected file.</w:t>
      </w:r>
    </w:p>
    <w:p>
      <w:pPr>
        <w:pStyle w:val="Heading2"/>
        <w:spacing w:after="120" w:before="280"/>
      </w:pPr>
      <w:r>
        <w:t xml:space="preserve">3.4 Figure</w:t>
      </w:r>
    </w:p>
    <w:p>
      <w:pPr>
        <w:spacing w:after="0" w:before="200"/>
        <w:jc w:val="center"/>
      </w:pPr>
      <w:r>
        <w:drawing>
          <wp:inline distT="0" distB="0" distL="0" distR="0">
            <wp:extent cx="4953000" cy="3695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53000" cy="3695700"/>
                    </a:xfrm>
                    <a:prstGeom prst="rect">
                      <a:avLst/>
                    </a:prstGeom>
                  </pic:spPr>
                </pic:pic>
              </a:graphicData>
            </a:graphic>
          </wp:inline>
        </w:drawing>
      </w:r>
    </w:p>
    <w:p>
      <w:pPr>
        <w:spacing w:after="300" w:before="80"/>
        <w:jc w:val="center"/>
      </w:pPr>
      <w:r>
        <w:rPr>
          <w:i/>
          <w:iCs/>
          <w:color w:val="555555"/>
          <w:sz w:val="18"/>
          <w:szCs w:val="18"/>
        </w:rPr>
        <w:t xml:space="preserve">Figure 4 — σV × ηsoil phase plane, all five valid societies. Filled markers are paper-coded crisis years; all values independently recomputed from raw C/K/S/A.</w:t>
      </w:r>
    </w:p>
    <w:p>
      <w:pPr>
        <w:pStyle w:val="Heading2"/>
        <w:spacing w:after="120" w:before="280"/>
      </w:pPr>
      <w:r>
        <w:t xml:space="preserve">3.5 Items for correction</w:t>
      </w:r>
    </w:p>
    <w:p>
      <w:pPr>
        <w:pStyle w:val="ListParagraph"/>
        <w:numPr>
          <w:ilvl w:val="0"/>
          <w:numId w:val="2"/>
        </w:numPr>
        <w:spacing w:after="100" w:line="276"/>
      </w:pPr>
      <w:r>
        <w:rPr>
          <w:sz w:val="22"/>
          <w:szCs w:val="22"/>
        </w:rPr>
        <w:t xml:space="preserve">Table 1, Denmark P2: stated S_Hands range is “0–8”; the data supports 0.0–4.0 only. Note also that a range of 4.0 clears the paper's own “≥ 3 passes” rule, so the ✗ mark is inconsistent with that rule independent of the range figure itself. Denmark's overall “Invalid” verdict is unaffected — it is fully supported by P1 alone.</w:t>
      </w:r>
    </w:p>
    <w:p>
      <w:pPr>
        <w:pStyle w:val="ListParagraph"/>
        <w:numPr>
          <w:ilvl w:val="0"/>
          <w:numId w:val="2"/>
        </w:numPr>
        <w:spacing w:after="100" w:line="276"/>
      </w:pPr>
      <w:r>
        <w:rPr>
          <w:sz w:val="22"/>
          <w:szCs w:val="22"/>
        </w:rPr>
        <w:t xml:space="preserve">§4.3, China 2003: S_Hands=3.0 and BS_Lore=BS_Archive=0.50 are confirmed exactly for 2003 — but 2003's own ηsoil computes to 0.401, not the stated 1.285. The value 1.285 is genuine and is the true series peak, but it belongs to 1999 (S_Hands=4.0, σV=0.217, an anomalously flat node-value year), not 2003. Recommend re-attributing the peak value and its interpretive discussion to the correct year.</w:t>
      </w:r>
    </w:p>
    <w:p>
      <w:pPr>
        <w:pStyle w:val="ListParagraph"/>
        <w:numPr>
          <w:ilvl w:val="0"/>
          <w:numId w:val="2"/>
        </w:numPr>
        <w:spacing w:after="100" w:line="276"/>
      </w:pPr>
      <w:r>
        <w:rPr>
          <w:sz w:val="22"/>
          <w:szCs w:val="22"/>
        </w:rPr>
        <w:t xml:space="preserve">§4.3, Australia 1963 (“Menzies peak”): recomputed ηsoil is 0.234, not the stated 0.263 (≈11% difference); 1963 is also not the series maximum — 1911 is higher, at 0.248. Recommend correcting the value or substituting 1911 as the cited peak.</w:t>
      </w:r>
    </w:p>
    <w:p>
      <w:pPr>
        <w:pStyle w:val="ListParagraph"/>
        <w:numPr>
          <w:ilvl w:val="0"/>
          <w:numId w:val="2"/>
        </w:numPr>
        <w:spacing w:after="100" w:line="276"/>
      </w:pPr>
      <w:r>
        <w:rPr>
          <w:sz w:val="22"/>
          <w:szCs w:val="22"/>
        </w:rPr>
        <w:t xml:space="preserve">§4.5, Iran 1979 (Islamic Revolution): stated V̄=−1.0, σV=3.51, ηsoil=0.001; recomputed values for 1979 are V̄=0.06, σV=2.04, ηsoil=0.0027. The collapse trajectory itself is present in the data — V̄ falls from 11.8 (1973–74) to near zero by 1978–79, with σV elevated through 1980–81 — but the specific cited triple does not match the 1979 row precisely and should be re-checked against source.</w:t>
      </w:r>
    </w:p>
    <w:p>
      <w:r>
        <w:br w:type="page"/>
      </w:r>
    </w:p>
    <w:p>
      <w:pPr>
        <w:pStyle w:val="Heading1"/>
        <w:spacing w:after="160" w:before="360"/>
      </w:pPr>
      <w:r>
        <w:t xml:space="preserve">4. Consolidated Errata</w:t>
      </w:r>
    </w:p>
    <w:p>
      <w:pPr>
        <w:spacing w:after="160" w:line="276"/>
      </w:pPr>
      <w:r>
        <w:rPr>
          <w:b w:val="false"/>
          <w:bCs w:val="false"/>
          <w:i w:val="false"/>
          <w:iCs w:val="false"/>
          <w:sz w:val="22"/>
          <w:szCs w:val="22"/>
        </w:rPr>
        <w:t xml:space="preserve">Every correction identified across the three papers, in one table, for editorial use.</w:t>
      </w:r>
    </w:p>
    <w:tbl>
      <w:tblPr>
        <w:tblW w:type="dxa" w:w="9026"/>
        <w:tblBorders>
          <w:top w:val="single" w:color="999999" w:sz="4"/>
          <w:left w:val="single" w:color="999999" w:sz="4"/>
          <w:bottom w:val="single" w:color="999999" w:sz="4"/>
          <w:right w:val="single" w:color="999999" w:sz="4"/>
          <w:insideH w:val="single" w:color="CCCCCC" w:sz="2"/>
          <w:insideV w:val="single" w:color="CCCCCC" w:sz="2"/>
        </w:tblBorders>
      </w:tblPr>
      <w:tblGrid>
        <w:gridCol w:w="542"/>
        <w:gridCol w:w="1444"/>
        <w:gridCol w:w="1805"/>
        <w:gridCol w:w="3791"/>
        <w:gridCol w:w="1444"/>
      </w:tblGrid>
      <w:tr>
        <w:trPr>
          <w:tblHeader/>
        </w:trPr>
        <w:tc>
          <w:tcPr>
            <w:tcW w:type="dxa" w:w="542"/>
            <w:shd w:fill="2F3E4E" w:val="clear"/>
            <w:tcMar>
              <w:top w:type="dxa" w:w="80"/>
              <w:left w:type="dxa" w:w="100"/>
              <w:bottom w:type="dxa" w:w="80"/>
              <w:right w:type="dxa" w:w="100"/>
            </w:tcMar>
            <w:vAlign w:val="center"/>
          </w:tcPr>
          <w:p>
            <w:pPr>
              <w:jc w:val="center"/>
            </w:pPr>
            <w:r>
              <w:rPr>
                <w:b/>
                <w:bCs/>
                <w:color w:val="FFFFFF"/>
                <w:sz w:val="19"/>
                <w:szCs w:val="19"/>
              </w:rPr>
              <w:t xml:space="preserve">#</w:t>
            </w:r>
          </w:p>
        </w:tc>
        <w:tc>
          <w:tcPr>
            <w:tcW w:type="dxa" w:w="1444"/>
            <w:shd w:fill="2F3E4E" w:val="clear"/>
            <w:tcMar>
              <w:top w:type="dxa" w:w="80"/>
              <w:left w:type="dxa" w:w="100"/>
              <w:bottom w:type="dxa" w:w="80"/>
              <w:right w:type="dxa" w:w="100"/>
            </w:tcMar>
            <w:vAlign w:val="center"/>
          </w:tcPr>
          <w:p>
            <w:pPr>
              <w:jc w:val="center"/>
            </w:pPr>
            <w:r>
              <w:rPr>
                <w:b/>
                <w:bCs/>
                <w:color w:val="FFFFFF"/>
                <w:sz w:val="19"/>
                <w:szCs w:val="19"/>
              </w:rPr>
              <w:t xml:space="preserve">Paper</w:t>
            </w:r>
          </w:p>
        </w:tc>
        <w:tc>
          <w:tcPr>
            <w:tcW w:type="dxa" w:w="1805"/>
            <w:shd w:fill="2F3E4E" w:val="clear"/>
            <w:tcMar>
              <w:top w:type="dxa" w:w="80"/>
              <w:left w:type="dxa" w:w="100"/>
              <w:bottom w:type="dxa" w:w="80"/>
              <w:right w:type="dxa" w:w="100"/>
            </w:tcMar>
            <w:vAlign w:val="center"/>
          </w:tcPr>
          <w:p>
            <w:pPr>
              <w:jc w:val="center"/>
            </w:pPr>
            <w:r>
              <w:rPr>
                <w:b/>
                <w:bCs/>
                <w:color w:val="FFFFFF"/>
                <w:sz w:val="19"/>
                <w:szCs w:val="19"/>
              </w:rPr>
              <w:t xml:space="preserve">Location</w:t>
            </w:r>
          </w:p>
        </w:tc>
        <w:tc>
          <w:tcPr>
            <w:tcW w:type="dxa" w:w="3791"/>
            <w:shd w:fill="2F3E4E" w:val="clear"/>
            <w:tcMar>
              <w:top w:type="dxa" w:w="80"/>
              <w:left w:type="dxa" w:w="100"/>
              <w:bottom w:type="dxa" w:w="80"/>
              <w:right w:type="dxa" w:w="100"/>
            </w:tcMar>
            <w:vAlign w:val="center"/>
          </w:tcPr>
          <w:p>
            <w:pPr>
              <w:jc w:val="center"/>
            </w:pPr>
            <w:r>
              <w:rPr>
                <w:b/>
                <w:bCs/>
                <w:color w:val="FFFFFF"/>
                <w:sz w:val="19"/>
                <w:szCs w:val="19"/>
              </w:rPr>
              <w:t xml:space="preserve">Correction needed</w:t>
            </w:r>
          </w:p>
        </w:tc>
        <w:tc>
          <w:tcPr>
            <w:tcW w:type="dxa" w:w="1444"/>
            <w:shd w:fill="2F3E4E" w:val="clear"/>
            <w:tcMar>
              <w:top w:type="dxa" w:w="80"/>
              <w:left w:type="dxa" w:w="100"/>
              <w:bottom w:type="dxa" w:w="80"/>
              <w:right w:type="dxa" w:w="100"/>
            </w:tcMar>
            <w:vAlign w:val="center"/>
          </w:tcPr>
          <w:p>
            <w:pPr>
              <w:jc w:val="center"/>
            </w:pPr>
            <w:r>
              <w:rPr>
                <w:b/>
                <w:bCs/>
                <w:color w:val="FFFFFF"/>
                <w:sz w:val="19"/>
                <w:szCs w:val="19"/>
              </w:rPr>
              <w:t xml:space="preserve">Type</w:t>
            </w:r>
          </w:p>
        </w:tc>
      </w:tr>
      <w:tr>
        <w:tc>
          <w:tcPr>
            <w:tcW w:type="dxa" w:w="542"/>
            <w:tcMar>
              <w:top w:type="dxa" w:w="80"/>
              <w:left w:type="dxa" w:w="100"/>
              <w:bottom w:type="dxa" w:w="80"/>
              <w:right w:type="dxa" w:w="100"/>
            </w:tcMar>
            <w:vAlign w:val="center"/>
          </w:tcPr>
          <w:p>
            <w:pPr>
              <w:jc w:val="left"/>
            </w:pPr>
            <w:r>
              <w:rPr>
                <w:b w:val="false"/>
                <w:bCs w:val="false"/>
                <w:color w:val="000000"/>
                <w:sz w:val="19"/>
                <w:szCs w:val="19"/>
              </w:rPr>
              <w:t xml:space="preserve">1</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SRH</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§3, Tencent narrative</w:t>
            </w:r>
          </w:p>
        </w:tc>
        <w:tc>
          <w:tcPr>
            <w:tcW w:type="dxa" w:w="3791"/>
            <w:tcMar>
              <w:top w:type="dxa" w:w="80"/>
              <w:left w:type="dxa" w:w="100"/>
              <w:bottom w:type="dxa" w:w="80"/>
              <w:right w:type="dxa" w:w="100"/>
            </w:tcMar>
            <w:vAlign w:val="center"/>
          </w:tcPr>
          <w:p>
            <w:pPr>
              <w:jc w:val="left"/>
            </w:pPr>
            <w:r>
              <w:rPr>
                <w:b w:val="false"/>
                <w:bCs w:val="false"/>
                <w:color w:val="000000"/>
                <w:sz w:val="19"/>
                <w:szCs w:val="19"/>
              </w:rPr>
              <w:t xml:space="preserve">Reword “0.431→0.232” to reflect the two-episode (2018; 2021–22) path, not a monotonic decline</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Wording</w:t>
            </w:r>
          </w:p>
        </w:tc>
      </w:tr>
      <w:tr>
        <w:tc>
          <w:tcPr>
            <w:tcW w:type="dxa" w:w="542"/>
            <w:shd w:fill="F4F6F8" w:val="clear"/>
            <w:tcMar>
              <w:top w:type="dxa" w:w="80"/>
              <w:left w:type="dxa" w:w="100"/>
              <w:bottom w:type="dxa" w:w="80"/>
              <w:right w:type="dxa" w:w="100"/>
            </w:tcMar>
            <w:vAlign w:val="center"/>
          </w:tcPr>
          <w:p>
            <w:pPr>
              <w:jc w:val="left"/>
            </w:pPr>
            <w:r>
              <w:rPr>
                <w:b w:val="false"/>
                <w:bCs w:val="false"/>
                <w:color w:val="000000"/>
                <w:sz w:val="19"/>
                <w:szCs w:val="19"/>
              </w:rPr>
              <w:t xml:space="preserve">2</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SRH</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§2, Bond-strength inflation</w:t>
            </w:r>
          </w:p>
        </w:tc>
        <w:tc>
          <w:tcPr>
            <w:tcW w:type="dxa" w:w="3791"/>
            <w:shd w:fill="F4F6F8" w:val="clear"/>
            <w:tcMar>
              <w:top w:type="dxa" w:w="80"/>
              <w:left w:type="dxa" w:w="100"/>
              <w:bottom w:type="dxa" w:w="80"/>
              <w:right w:type="dxa" w:w="100"/>
            </w:tcMar>
            <w:vAlign w:val="center"/>
          </w:tcPr>
          <w:p>
            <w:pPr>
              <w:jc w:val="left"/>
            </w:pPr>
            <w:r>
              <w:rPr>
                <w:b w:val="false"/>
                <w:bCs w:val="false"/>
                <w:color w:val="000000"/>
                <w:sz w:val="19"/>
                <w:szCs w:val="19"/>
              </w:rPr>
              <w:t xml:space="preserve">“12×–112×” not exactly reproducible; closest bound is 10.81×–111.07× (system-B̄ comparator)</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Precision</w:t>
            </w:r>
          </w:p>
        </w:tc>
      </w:tr>
      <w:tr>
        <w:tc>
          <w:tcPr>
            <w:tcW w:type="dxa" w:w="542"/>
            <w:tcMar>
              <w:top w:type="dxa" w:w="80"/>
              <w:left w:type="dxa" w:w="100"/>
              <w:bottom w:type="dxa" w:w="80"/>
              <w:right w:type="dxa" w:w="100"/>
            </w:tcMar>
            <w:vAlign w:val="center"/>
          </w:tcPr>
          <w:p>
            <w:pPr>
              <w:jc w:val="left"/>
            </w:pPr>
            <w:r>
              <w:rPr>
                <w:b w:val="false"/>
                <w:bCs w:val="false"/>
                <w:color w:val="000000"/>
                <w:sz w:val="19"/>
                <w:szCs w:val="19"/>
              </w:rPr>
              <w:t xml:space="preserve">3</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SRH</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§2, Wij specification</w:t>
            </w:r>
          </w:p>
        </w:tc>
        <w:tc>
          <w:tcPr>
            <w:tcW w:type="dxa" w:w="3791"/>
            <w:tcMar>
              <w:top w:type="dxa" w:w="80"/>
              <w:left w:type="dxa" w:w="100"/>
              <w:bottom w:type="dxa" w:w="80"/>
              <w:right w:type="dxa" w:w="100"/>
            </w:tcMar>
            <w:vAlign w:val="center"/>
          </w:tcPr>
          <w:p>
            <w:pPr>
              <w:jc w:val="left"/>
            </w:pPr>
            <w:r>
              <w:rPr>
                <w:b w:val="false"/>
                <w:bCs w:val="false"/>
                <w:color w:val="000000"/>
                <w:sz w:val="19"/>
                <w:szCs w:val="19"/>
              </w:rPr>
              <w:t xml:space="preserve">Note explicitly that the complete-graph (K8) Wij bypasses the Mythic/Material partition question</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Scope note</w:t>
            </w:r>
          </w:p>
        </w:tc>
      </w:tr>
      <w:tr>
        <w:tc>
          <w:tcPr>
            <w:tcW w:type="dxa" w:w="542"/>
            <w:shd w:fill="F4F6F8" w:val="clear"/>
            <w:tcMar>
              <w:top w:type="dxa" w:w="80"/>
              <w:left w:type="dxa" w:w="100"/>
              <w:bottom w:type="dxa" w:w="80"/>
              <w:right w:type="dxa" w:w="100"/>
            </w:tcMar>
            <w:vAlign w:val="center"/>
          </w:tcPr>
          <w:p>
            <w:pPr>
              <w:jc w:val="left"/>
            </w:pPr>
            <w:r>
              <w:rPr>
                <w:b w:val="false"/>
                <w:bCs w:val="false"/>
                <w:color w:val="000000"/>
                <w:sz w:val="19"/>
                <w:szCs w:val="19"/>
              </w:rPr>
              <w:t xml:space="preserve">4</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Portability</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§3, F-P4.3 status table</w:t>
            </w:r>
          </w:p>
        </w:tc>
        <w:tc>
          <w:tcPr>
            <w:tcW w:type="dxa" w:w="3791"/>
            <w:shd w:fill="F4F6F8" w:val="clear"/>
            <w:tcMar>
              <w:top w:type="dxa" w:w="80"/>
              <w:left w:type="dxa" w:w="100"/>
              <w:bottom w:type="dxa" w:w="80"/>
              <w:right w:type="dxa" w:w="100"/>
            </w:tcMar>
            <w:vAlign w:val="center"/>
          </w:tcPr>
          <w:p>
            <w:pPr>
              <w:jc w:val="left"/>
            </w:pPr>
            <w:r>
              <w:rPr>
                <w:b w:val="false"/>
                <w:bCs w:val="false"/>
                <w:color w:val="000000"/>
                <w:sz w:val="19"/>
                <w:szCs w:val="19"/>
              </w:rPr>
              <w:t xml:space="preserve">“NOT TRIGGERED (&lt;0.28)” contradicts the criterion's own &gt;0.20 threshold, which Section 1.2's own D-statistics (0.214, 0.276) exceed</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Logic error</w:t>
            </w:r>
          </w:p>
        </w:tc>
      </w:tr>
      <w:tr>
        <w:tc>
          <w:tcPr>
            <w:tcW w:type="dxa" w:w="542"/>
            <w:tcMar>
              <w:top w:type="dxa" w:w="80"/>
              <w:left w:type="dxa" w:w="100"/>
              <w:bottom w:type="dxa" w:w="80"/>
              <w:right w:type="dxa" w:w="100"/>
            </w:tcMar>
            <w:vAlign w:val="center"/>
          </w:tcPr>
          <w:p>
            <w:pPr>
              <w:jc w:val="left"/>
            </w:pPr>
            <w:r>
              <w:rPr>
                <w:b w:val="false"/>
                <w:bCs w:val="false"/>
                <w:color w:val="000000"/>
                <w:sz w:val="19"/>
                <w:szCs w:val="19"/>
              </w:rPr>
              <w:t xml:space="preserve">5</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ηsoil</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Table 1, Denmark P2</w:t>
            </w:r>
          </w:p>
        </w:tc>
        <w:tc>
          <w:tcPr>
            <w:tcW w:type="dxa" w:w="3791"/>
            <w:tcMar>
              <w:top w:type="dxa" w:w="80"/>
              <w:left w:type="dxa" w:w="100"/>
              <w:bottom w:type="dxa" w:w="80"/>
              <w:right w:type="dxa" w:w="100"/>
            </w:tcMar>
            <w:vAlign w:val="center"/>
          </w:tcPr>
          <w:p>
            <w:pPr>
              <w:jc w:val="left"/>
            </w:pPr>
            <w:r>
              <w:rPr>
                <w:b w:val="false"/>
                <w:bCs w:val="false"/>
                <w:color w:val="000000"/>
                <w:sz w:val="19"/>
                <w:szCs w:val="19"/>
              </w:rPr>
              <w:t xml:space="preserve">S_Hands range is 0.0–4.0, not “0–8”; ✗ mark inconsistent with the paper's own ≥ 3 rule</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Data error</w:t>
            </w:r>
          </w:p>
        </w:tc>
      </w:tr>
      <w:tr>
        <w:tc>
          <w:tcPr>
            <w:tcW w:type="dxa" w:w="542"/>
            <w:shd w:fill="F4F6F8" w:val="clear"/>
            <w:tcMar>
              <w:top w:type="dxa" w:w="80"/>
              <w:left w:type="dxa" w:w="100"/>
              <w:bottom w:type="dxa" w:w="80"/>
              <w:right w:type="dxa" w:w="100"/>
            </w:tcMar>
            <w:vAlign w:val="center"/>
          </w:tcPr>
          <w:p>
            <w:pPr>
              <w:jc w:val="left"/>
            </w:pPr>
            <w:r>
              <w:rPr>
                <w:b w:val="false"/>
                <w:bCs w:val="false"/>
                <w:color w:val="000000"/>
                <w:sz w:val="19"/>
                <w:szCs w:val="19"/>
              </w:rPr>
              <w:t xml:space="preserve">6</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ηsoil</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§4.3, China 2003</w:t>
            </w:r>
          </w:p>
        </w:tc>
        <w:tc>
          <w:tcPr>
            <w:tcW w:type="dxa" w:w="3791"/>
            <w:shd w:fill="F4F6F8" w:val="clear"/>
            <w:tcMar>
              <w:top w:type="dxa" w:w="80"/>
              <w:left w:type="dxa" w:w="100"/>
              <w:bottom w:type="dxa" w:w="80"/>
              <w:right w:type="dxa" w:w="100"/>
            </w:tcMar>
            <w:vAlign w:val="center"/>
          </w:tcPr>
          <w:p>
            <w:pPr>
              <w:jc w:val="left"/>
            </w:pPr>
            <w:r>
              <w:rPr>
                <w:b w:val="false"/>
                <w:bCs w:val="false"/>
                <w:color w:val="000000"/>
                <w:sz w:val="19"/>
                <w:szCs w:val="19"/>
              </w:rPr>
              <w:t xml:space="preserve">ηsoil=1.285 (“series peak”) belongs to 1999, not 2003; 2003 itself computes to 0.401</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Year mislabel</w:t>
            </w:r>
          </w:p>
        </w:tc>
      </w:tr>
      <w:tr>
        <w:tc>
          <w:tcPr>
            <w:tcW w:type="dxa" w:w="542"/>
            <w:tcMar>
              <w:top w:type="dxa" w:w="80"/>
              <w:left w:type="dxa" w:w="100"/>
              <w:bottom w:type="dxa" w:w="80"/>
              <w:right w:type="dxa" w:w="100"/>
            </w:tcMar>
            <w:vAlign w:val="center"/>
          </w:tcPr>
          <w:p>
            <w:pPr>
              <w:jc w:val="left"/>
            </w:pPr>
            <w:r>
              <w:rPr>
                <w:b w:val="false"/>
                <w:bCs w:val="false"/>
                <w:color w:val="000000"/>
                <w:sz w:val="19"/>
                <w:szCs w:val="19"/>
              </w:rPr>
              <w:t xml:space="preserve">7</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ηsoil</w:t>
            </w:r>
          </w:p>
        </w:tc>
        <w:tc>
          <w:tcPr>
            <w:tcW w:type="dxa" w:w="1805"/>
            <w:tcMar>
              <w:top w:type="dxa" w:w="80"/>
              <w:left w:type="dxa" w:w="100"/>
              <w:bottom w:type="dxa" w:w="80"/>
              <w:right w:type="dxa" w:w="100"/>
            </w:tcMar>
            <w:vAlign w:val="center"/>
          </w:tcPr>
          <w:p>
            <w:pPr>
              <w:jc w:val="left"/>
            </w:pPr>
            <w:r>
              <w:rPr>
                <w:b w:val="false"/>
                <w:bCs w:val="false"/>
                <w:color w:val="000000"/>
                <w:sz w:val="19"/>
                <w:szCs w:val="19"/>
              </w:rPr>
              <w:t xml:space="preserve">§4.3, Australia 1963</w:t>
            </w:r>
          </w:p>
        </w:tc>
        <w:tc>
          <w:tcPr>
            <w:tcW w:type="dxa" w:w="3791"/>
            <w:tcMar>
              <w:top w:type="dxa" w:w="80"/>
              <w:left w:type="dxa" w:w="100"/>
              <w:bottom w:type="dxa" w:w="80"/>
              <w:right w:type="dxa" w:w="100"/>
            </w:tcMar>
            <w:vAlign w:val="center"/>
          </w:tcPr>
          <w:p>
            <w:pPr>
              <w:jc w:val="left"/>
            </w:pPr>
            <w:r>
              <w:rPr>
                <w:b w:val="false"/>
                <w:bCs w:val="false"/>
                <w:color w:val="000000"/>
                <w:sz w:val="19"/>
                <w:szCs w:val="19"/>
              </w:rPr>
              <w:t xml:space="preserve">Recomputed ηsoil=0.234, not 0.263; 1911 (0.248) is the true series maximum</w:t>
            </w:r>
          </w:p>
        </w:tc>
        <w:tc>
          <w:tcPr>
            <w:tcW w:type="dxa" w:w="1444"/>
            <w:tcMar>
              <w:top w:type="dxa" w:w="80"/>
              <w:left w:type="dxa" w:w="100"/>
              <w:bottom w:type="dxa" w:w="80"/>
              <w:right w:type="dxa" w:w="100"/>
            </w:tcMar>
            <w:vAlign w:val="center"/>
          </w:tcPr>
          <w:p>
            <w:pPr>
              <w:jc w:val="left"/>
            </w:pPr>
            <w:r>
              <w:rPr>
                <w:b w:val="false"/>
                <w:bCs w:val="false"/>
                <w:color w:val="000000"/>
                <w:sz w:val="19"/>
                <w:szCs w:val="19"/>
              </w:rPr>
              <w:t xml:space="preserve">Data error</w:t>
            </w:r>
          </w:p>
        </w:tc>
      </w:tr>
      <w:tr>
        <w:tc>
          <w:tcPr>
            <w:tcW w:type="dxa" w:w="542"/>
            <w:shd w:fill="F4F6F8" w:val="clear"/>
            <w:tcMar>
              <w:top w:type="dxa" w:w="80"/>
              <w:left w:type="dxa" w:w="100"/>
              <w:bottom w:type="dxa" w:w="80"/>
              <w:right w:type="dxa" w:w="100"/>
            </w:tcMar>
            <w:vAlign w:val="center"/>
          </w:tcPr>
          <w:p>
            <w:pPr>
              <w:jc w:val="left"/>
            </w:pPr>
            <w:r>
              <w:rPr>
                <w:b w:val="false"/>
                <w:bCs w:val="false"/>
                <w:color w:val="000000"/>
                <w:sz w:val="19"/>
                <w:szCs w:val="19"/>
              </w:rPr>
              <w:t xml:space="preserve">8</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ηsoil</w:t>
            </w:r>
          </w:p>
        </w:tc>
        <w:tc>
          <w:tcPr>
            <w:tcW w:type="dxa" w:w="1805"/>
            <w:shd w:fill="F4F6F8" w:val="clear"/>
            <w:tcMar>
              <w:top w:type="dxa" w:w="80"/>
              <w:left w:type="dxa" w:w="100"/>
              <w:bottom w:type="dxa" w:w="80"/>
              <w:right w:type="dxa" w:w="100"/>
            </w:tcMar>
            <w:vAlign w:val="center"/>
          </w:tcPr>
          <w:p>
            <w:pPr>
              <w:jc w:val="left"/>
            </w:pPr>
            <w:r>
              <w:rPr>
                <w:b w:val="false"/>
                <w:bCs w:val="false"/>
                <w:color w:val="000000"/>
                <w:sz w:val="19"/>
                <w:szCs w:val="19"/>
              </w:rPr>
              <w:t xml:space="preserve">§4.5, Iran 1979</w:t>
            </w:r>
          </w:p>
        </w:tc>
        <w:tc>
          <w:tcPr>
            <w:tcW w:type="dxa" w:w="3791"/>
            <w:shd w:fill="F4F6F8" w:val="clear"/>
            <w:tcMar>
              <w:top w:type="dxa" w:w="80"/>
              <w:left w:type="dxa" w:w="100"/>
              <w:bottom w:type="dxa" w:w="80"/>
              <w:right w:type="dxa" w:w="100"/>
            </w:tcMar>
            <w:vAlign w:val="center"/>
          </w:tcPr>
          <w:p>
            <w:pPr>
              <w:jc w:val="left"/>
            </w:pPr>
            <w:r>
              <w:rPr>
                <w:b w:val="false"/>
                <w:bCs w:val="false"/>
                <w:color w:val="000000"/>
                <w:sz w:val="19"/>
                <w:szCs w:val="19"/>
              </w:rPr>
              <w:t xml:space="preserve">Cited V̄=−1.0, σV=3.51 do not match the 1979 row (V̄=0.06, σV=2.04); re-check against source</w:t>
            </w:r>
          </w:p>
        </w:tc>
        <w:tc>
          <w:tcPr>
            <w:tcW w:type="dxa" w:w="1444"/>
            <w:shd w:fill="F4F6F8" w:val="clear"/>
            <w:tcMar>
              <w:top w:type="dxa" w:w="80"/>
              <w:left w:type="dxa" w:w="100"/>
              <w:bottom w:type="dxa" w:w="80"/>
              <w:right w:type="dxa" w:w="100"/>
            </w:tcMar>
            <w:vAlign w:val="center"/>
          </w:tcPr>
          <w:p>
            <w:pPr>
              <w:jc w:val="left"/>
            </w:pPr>
            <w:r>
              <w:rPr>
                <w:b w:val="false"/>
                <w:bCs w:val="false"/>
                <w:color w:val="000000"/>
                <w:sz w:val="19"/>
                <w:szCs w:val="19"/>
              </w:rPr>
              <w:t xml:space="preserve">Data error</w:t>
            </w:r>
          </w:p>
        </w:tc>
      </w:tr>
    </w:tbl>
    <w:p>
      <w:r>
        <w:br w:type="page"/>
      </w:r>
    </w:p>
    <w:p>
      <w:pPr>
        <w:pStyle w:val="Heading1"/>
        <w:spacing w:after="160" w:before="360"/>
      </w:pPr>
      <w:r>
        <w:t xml:space="preserve">5. Summary Assessment</w:t>
      </w:r>
    </w:p>
    <w:p>
      <w:pPr>
        <w:spacing w:after="160" w:line="276"/>
      </w:pPr>
      <w:r>
        <w:rPr>
          <w:b w:val="false"/>
          <w:bCs w:val="false"/>
          <w:i w:val="false"/>
          <w:iCs w:val="false"/>
          <w:sz w:val="22"/>
          <w:szCs w:val="22"/>
        </w:rPr>
        <w:t xml:space="preserve">Scale-Recursion Hypothesis: operator invariance and topological invariance both reproduce to the precision reported, across every figure checked, and both extend cleanly to an out-of-sample panel the original paper did not test. Three items — one wording precision issue, one numeric-bound imprecision, one methodological scope note — are recommended before further circulation. No figure required correction to a different value.</w:t>
      </w:r>
    </w:p>
    <w:p>
      <w:pPr>
        <w:spacing w:after="160" w:line="276"/>
      </w:pPr>
      <w:r>
        <w:rPr>
          <w:b w:val="false"/>
          <w:bCs w:val="false"/>
          <w:i w:val="false"/>
          <w:iCs w:val="false"/>
          <w:sz w:val="22"/>
          <w:szCs w:val="22"/>
        </w:rPr>
        <w:t xml:space="preserve">Operator Portability Proposition: Section 1 (within-domain, corporate) reproduces in full, including the joint band-containment definition. Section 2 (cross-domain) reproduces in full once the correct France vintage (1850–2026) is used in place of the initially-supplied truncated file. One internal inconsistency in the Section 3 falsification-status table (F-P4.3) should be corrected; it does not affect the paper's substantive conclusions.</w:t>
      </w:r>
    </w:p>
    <w:p>
      <w:pPr>
        <w:spacing w:after="160" w:line="276"/>
      </w:pPr>
      <w:r>
        <w:rPr>
          <w:b w:val="false"/>
          <w:bCs w:val="false"/>
          <w:i w:val="false"/>
          <w:iCs w:val="false"/>
          <w:sz w:val="22"/>
          <w:szCs w:val="22"/>
        </w:rPr>
        <w:t xml:space="preserve">The Soil-Bond Index: H1 and H2 are confirmed across all five valid societies once the correct source files are used for China, Germany, and Australia (all three initially-supplied candidates failed to reproduce the paper's own statistics and have since been replaced). H3's three named regime attractors — Fracture, Coherent Collapse, Dispersive Resilience — are all independently supported by the corrected data. Four specific-year citations (Denmark P2, China 2003, Australia 1963, Iran 1979) require the corrections listed in §3.5 and §4.</w:t>
      </w:r>
    </w:p>
    <w:p>
      <w:pPr>
        <w:spacing w:after="160" w:line="276"/>
      </w:pPr>
      <w:r>
        <w:rPr>
          <w:b w:val="false"/>
          <w:bCs w:val="false"/>
          <w:i w:val="false"/>
          <w:iCs w:val="false"/>
          <w:sz w:val="22"/>
          <w:szCs w:val="22"/>
        </w:rPr>
        <w:t xml:space="preserve">None of the corrections identified change any paper's central claims. All are either (a) precision/wording fixes to otherwise-correct statistics, (b) a single internal-consistency fix to a status table, or (c) specific-year citations that should be re-pointed to the correct row in already-correct underlying data. The consolidated table in Section 4 is intended as a direct edit checklist.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400"/>
    </w:pPr>
    <w:rPr>
      <w:rFonts w:ascii="Calibri" w:cs="Calibri" w:eastAsia="Calibri" w:hAnsi="Calibri"/>
      <w:b/>
      <w:bCs/>
      <w:color w:val="1F2A38"/>
      <w:sz w:val="32"/>
      <w:szCs w:val="32"/>
    </w:rPr>
  </w:style>
  <w:style w:type="paragraph" w:styleId="Heading2">
    <w:name w:val="Heading 2"/>
    <w:basedOn w:val="Normal"/>
    <w:next w:val="Normal"/>
    <w:qFormat/>
    <w:rPr>
      <w:rFonts w:ascii="Calibri" w:cs="Calibri" w:eastAsia="Calibri" w:hAnsi="Calibri"/>
      <w:b/>
      <w:bCs/>
      <w:color w:val="2F3E4E"/>
      <w:sz w:val="26"/>
      <w:szCs w:val="26"/>
    </w:rPr>
  </w:style>
  <w:style w:type="paragraph" w:styleId="Heading3">
    <w:name w:val="Heading 3"/>
    <w:basedOn w:val="Normal"/>
    <w:next w:val="Normal"/>
    <w:qFormat/>
    <w:rPr>
      <w:rFonts w:ascii="Calibri" w:cs="Calibri" w:eastAsia="Calibri" w:hAnsi="Calibri"/>
      <w:b/>
      <w:bCs/>
      <w:color w:val="3D4F63"/>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c072d806c6d17ef9590ab524408654f4e64eae1.png"/><Relationship Id="rId8" Type="http://schemas.openxmlformats.org/officeDocument/2006/relationships/image" Target="media/ce345693a9df8a2630aef99bba4ae7e4efdf8e15.png"/><Relationship Id="rId9" Type="http://schemas.openxmlformats.org/officeDocument/2006/relationships/image" Target="media/a3a4b394fbfb95b29a4f6871456ba5ad61628758.png"/><Relationship Id="rId10" Type="http://schemas.openxmlformats.org/officeDocument/2006/relationships/image" Target="media/531fe45629383a698cd9803d5344714258924734.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2026-07-31T10:04:53.677Z</dcterms:created>
  <dcterms:modified xsi:type="dcterms:W3CDTF">2026-07-31T10:04:53.677Z</dcterms:modified>
</cp:coreProperties>
</file>

<file path=docProps/custom.xml><?xml version="1.0" encoding="utf-8"?>
<Properties xmlns="http://schemas.openxmlformats.org/officeDocument/2006/custom-properties" xmlns:vt="http://schemas.openxmlformats.org/officeDocument/2006/docPropsVTypes"/>
</file>