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rFonts w:ascii="Georgia" w:cs="Georgia" w:eastAsia="Georgia" w:hAnsi="Georgia"/>
          <w:sz w:val="24"/>
          <w:szCs w:val="24"/>
        </w:rPr>
        <w:t xml:space="preserve"/>
      </w:r>
    </w:p>
    <w:p>
      <w:pPr>
        <w:spacing w:after="240"/>
      </w:pPr>
      <w:r>
        <w:rPr>
          <w:rFonts w:ascii="Georgia" w:cs="Georgia" w:eastAsia="Georgia" w:hAnsi="Georgia"/>
          <w:sz w:val="24"/>
          <w:szCs w:val="24"/>
        </w:rPr>
        <w:t xml:space="preserve"/>
      </w:r>
    </w:p>
    <w:p>
      <w:pPr>
        <w:spacing w:after="240"/>
      </w:pPr>
      <w:r>
        <w:rPr>
          <w:rFonts w:ascii="Georgia" w:cs="Georgia" w:eastAsia="Georgia" w:hAnsi="Georgia"/>
          <w:sz w:val="24"/>
          <w:szCs w:val="24"/>
        </w:rPr>
        <w:t xml:space="preserve"/>
      </w:r>
    </w:p>
    <w:p>
      <w:pPr>
        <w:spacing w:after="120"/>
        <w:jc w:val="center"/>
      </w:pPr>
      <w:r>
        <w:rPr>
          <w:rFonts w:ascii="Calibri" w:cs="Calibri" w:eastAsia="Calibri" w:hAnsi="Calibri"/>
          <w:b/>
          <w:bCs/>
          <w:sz w:val="52"/>
          <w:szCs w:val="52"/>
        </w:rPr>
        <w:t xml:space="preserve">THE BORROWED NATION</w:t>
      </w:r>
    </w:p>
    <w:p>
      <w:pPr>
        <w:spacing w:after="240"/>
      </w:pPr>
      <w:r>
        <w:rPr>
          <w:rFonts w:ascii="Georgia" w:cs="Georgia" w:eastAsia="Georgia" w:hAnsi="Georgia"/>
          <w:sz w:val="24"/>
          <w:szCs w:val="24"/>
        </w:rPr>
        <w:t xml:space="preserve"/>
      </w:r>
    </w:p>
    <w:p>
      <w:pPr>
        <w:spacing w:after="120"/>
        <w:jc w:val="center"/>
      </w:pPr>
      <w:r>
        <w:rPr>
          <w:rFonts w:ascii="Calibri" w:cs="Calibri" w:eastAsia="Calibri" w:hAnsi="Calibri"/>
          <w:b w:val="false"/>
          <w:bCs w:val="false"/>
          <w:sz w:val="28"/>
          <w:szCs w:val="28"/>
        </w:rPr>
        <w:t xml:space="preserve">Five Essays on Structural Dependency, Foreign Ownership,</w:t>
      </w:r>
    </w:p>
    <w:p>
      <w:pPr>
        <w:spacing w:after="120"/>
        <w:jc w:val="center"/>
      </w:pPr>
      <w:r>
        <w:rPr>
          <w:rFonts w:ascii="Calibri" w:cs="Calibri" w:eastAsia="Calibri" w:hAnsi="Calibri"/>
          <w:b w:val="false"/>
          <w:bCs w:val="false"/>
          <w:sz w:val="28"/>
          <w:szCs w:val="28"/>
        </w:rPr>
        <w:t xml:space="preserve">and the Politics of Fear</w:t>
      </w:r>
    </w:p>
    <w:p>
      <w:pPr>
        <w:spacing w:after="240"/>
      </w:pPr>
      <w:r>
        <w:rPr>
          <w:rFonts w:ascii="Georgia" w:cs="Georgia" w:eastAsia="Georgia" w:hAnsi="Georgia"/>
          <w:sz w:val="24"/>
          <w:szCs w:val="24"/>
        </w:rPr>
        <w:t xml:space="preserve"/>
      </w:r>
    </w:p>
    <w:p>
      <w:pPr>
        <w:spacing w:after="240"/>
      </w:pPr>
      <w:r>
        <w:rPr>
          <w:rFonts w:ascii="Georgia" w:cs="Georgia" w:eastAsia="Georgia" w:hAnsi="Georgia"/>
          <w:sz w:val="24"/>
          <w:szCs w:val="24"/>
        </w:rPr>
        <w:t xml:space="preserve"/>
      </w:r>
    </w:p>
    <w:p>
      <w:pPr>
        <w:spacing w:after="120"/>
        <w:jc w:val="center"/>
      </w:pPr>
      <w:r>
        <w:rPr>
          <w:rFonts w:ascii="Calibri" w:cs="Calibri" w:eastAsia="Calibri" w:hAnsi="Calibri"/>
          <w:b/>
          <w:bCs/>
          <w:sz w:val="26"/>
          <w:szCs w:val="26"/>
        </w:rPr>
        <w:t xml:space="preserve">Kari Freyr McKern</w:t>
      </w:r>
    </w:p>
    <w:p>
      <w:pPr>
        <w:spacing w:after="120"/>
        <w:jc w:val="center"/>
      </w:pPr>
      <w:r>
        <w:rPr>
          <w:rFonts w:ascii="Calibri" w:cs="Calibri" w:eastAsia="Calibri" w:hAnsi="Calibri"/>
          <w:b w:val="false"/>
          <w:bCs w:val="false"/>
          <w:sz w:val="24"/>
          <w:szCs w:val="24"/>
        </w:rPr>
        <w:t xml:space="preserve">Epiphenomenon@Trove Research Project</w:t>
      </w:r>
    </w:p>
    <w:p>
      <w:pPr>
        <w:spacing w:after="120"/>
        <w:jc w:val="center"/>
      </w:pPr>
      <w:r>
        <w:rPr>
          <w:rFonts w:ascii="Calibri" w:cs="Calibri" w:eastAsia="Calibri" w:hAnsi="Calibri"/>
          <w:b w:val="false"/>
          <w:bCs w:val="false"/>
          <w:sz w:val="24"/>
          <w:szCs w:val="24"/>
        </w:rPr>
        <w:t xml:space="preserve">August 2026</w:t>
      </w:r>
    </w:p>
    <w:p>
      <w:pPr>
        <w:spacing w:after="240"/>
      </w:pPr>
      <w:r>
        <w:rPr>
          <w:rFonts w:ascii="Georgia" w:cs="Georgia" w:eastAsia="Georgia" w:hAnsi="Georgia"/>
          <w:sz w:val="24"/>
          <w:szCs w:val="24"/>
        </w:rPr>
        <w:t xml:space="preserve"/>
      </w:r>
    </w:p>
    <w:p>
      <w:pPr>
        <w:spacing w:after="120"/>
        <w:jc w:val="center"/>
      </w:pPr>
      <w:r>
        <w:rPr>
          <w:rFonts w:ascii="Calibri" w:cs="Calibri" w:eastAsia="Calibri" w:hAnsi="Calibri"/>
          <w:b w:val="false"/>
          <w:bCs w:val="false"/>
          <w:sz w:val="22"/>
          <w:szCs w:val="22"/>
        </w:rPr>
        <w:t xml:space="preserve">ORCID: 0009-0007-9045-0505</w:t>
      </w:r>
    </w:p>
    <w:p>
      <w:pPr>
        <w:spacing w:after="120"/>
        <w:jc w:val="center"/>
      </w:pPr>
      <w:r>
        <w:rPr>
          <w:rFonts w:ascii="Calibri" w:cs="Calibri" w:eastAsia="Calibri" w:hAnsi="Calibri"/>
          <w:b w:val="false"/>
          <w:bCs w:val="false"/>
          <w:sz w:val="22"/>
          <w:szCs w:val="22"/>
        </w:rPr>
        <w:t xml:space="preserve">neuralnations.org</w:t>
      </w:r>
    </w:p>
    <w:p>
      <w:pPr>
        <w:spacing w:after="240"/>
      </w:pPr>
      <w:r>
        <w:rPr>
          <w:rFonts w:ascii="Georgia" w:cs="Georgia" w:eastAsia="Georgia" w:hAnsi="Georgia"/>
          <w:sz w:val="24"/>
          <w:szCs w:val="24"/>
        </w:rPr>
        <w:t xml:space="preserve"/>
      </w:r>
    </w:p>
    <w:p>
      <w:pPr>
        <w:spacing w:after="240"/>
      </w:pPr>
      <w:r>
        <w:rPr>
          <w:rFonts w:ascii="Georgia" w:cs="Georgia" w:eastAsia="Georgia" w:hAnsi="Georgia"/>
          <w:sz w:val="24"/>
          <w:szCs w:val="24"/>
        </w:rPr>
        <w:t xml:space="preserve"/>
      </w:r>
    </w:p>
    <w:p>
      <w:pPr>
        <w:spacing w:after="180" w:line="280"/>
      </w:pPr>
      <w:r>
        <w:rPr>
          <w:rFonts w:ascii="Georgia" w:cs="Georgia" w:eastAsia="Georgia" w:hAnsi="Georgia"/>
          <w:i/>
          <w:iCs/>
          <w:sz w:val="24"/>
          <w:szCs w:val="24"/>
        </w:rPr>
        <w:t xml:space="preserve">My CAMS-CAN framework — the Complex Adaptive Model Sybond / Catch-All Network — treats societies as coordinated systems of eight interdependent institutional nodes. This series applies that framework to the structural contradictions at the heart of Australian foreign policy, foreign ownership, and political discourse about China.</w:t>
      </w:r>
    </w:p>
    <w:p>
      <w:pPr>
        <w:spacing w:after="240"/>
      </w:pPr>
      <w:r>
        <w:rPr>
          <w:rFonts w:ascii="Georgia" w:cs="Georgia" w:eastAsia="Georgia" w:hAnsi="Georgia"/>
          <w:sz w:val="24"/>
          <w:szCs w:val="24"/>
        </w:rPr>
        <w:t xml:space="preserve"/>
      </w:r>
    </w:p>
    <w:p>
      <w:pPr>
        <w:spacing w:after="180" w:line="280"/>
      </w:pPr>
      <w:r>
        <w:rPr>
          <w:rFonts w:ascii="Georgia" w:cs="Georgia" w:eastAsia="Georgia" w:hAnsi="Georgia"/>
          <w:i/>
          <w:iCs/>
          <w:sz w:val="24"/>
          <w:szCs w:val="24"/>
        </w:rPr>
        <w:t xml:space="preserve">The five essays are self-contained but build a cumulative argument: structural inheritance explains dependency (Essay One); foreign capital reproduces that dependency through the Stewards node (Essay Two); domestic stress — not Chinese behaviour — drives threat discourse (Essay Three); the trade geography makes the contradiction undeniable (Essay Four); and a disciplined counterfactual shows the path not taken (Essay Five).</w:t>
      </w:r>
    </w:p>
    <w:p>
      <w:pPr>
        <w:spacing w:after="240"/>
      </w:pPr>
      <w:r>
        <w:rPr>
          <w:rFonts w:ascii="Georgia" w:cs="Georgia" w:eastAsia="Georgia" w:hAnsi="Georgia"/>
          <w:sz w:val="24"/>
          <w:szCs w:val="24"/>
        </w:rPr>
        <w:t xml:space="preserve"/>
      </w:r>
    </w:p>
    <w:p>
      <w:pPr>
        <w:spacing w:after="120"/>
      </w:pPr>
      <w:r>
        <w:rPr>
          <w:rFonts w:ascii="Georgia" w:cs="Georgia" w:eastAsia="Georgia" w:hAnsi="Georgia"/>
          <w:i/>
          <w:iCs/>
          <w:sz w:val="20"/>
          <w:szCs w:val="20"/>
        </w:rPr>
        <w:t xml:space="preserve">All CAMS datasets, scoring protocols, and replication materials are available openly at github.com/KaliBond/wintermute and neuralnations.org/datasets.</w:t>
      </w:r>
    </w:p>
    <w:p>
      <w:r>
        <w:br w:type="page"/>
      </w:r>
    </w:p>
    <w:p>
      <w:pPr>
        <w:spacing w:after="120"/>
        <w:jc w:val="center"/>
      </w:pPr>
      <w:r>
        <w:rPr>
          <w:rFonts w:ascii="Calibri" w:cs="Calibri" w:eastAsia="Calibri" w:hAnsi="Calibri"/>
          <w:b/>
          <w:bCs/>
          <w:sz w:val="26"/>
          <w:szCs w:val="26"/>
        </w:rPr>
        <w:t xml:space="preserve">Essay One</w:t>
      </w:r>
    </w:p>
    <w:p>
      <w:pPr>
        <w:pStyle w:val="Heading1"/>
        <w:spacing w:after="240" w:before="0"/>
      </w:pPr>
      <w:r>
        <w:rPr>
          <w:rFonts w:ascii="Calibri" w:cs="Calibri" w:eastAsia="Calibri" w:hAnsi="Calibri"/>
          <w:b/>
          <w:bCs/>
          <w:sz w:val="40"/>
          <w:szCs w:val="40"/>
        </w:rPr>
        <w:t xml:space="preserve">The Inheritance of Dependence</w:t>
      </w:r>
    </w:p>
    <w:p>
      <w:pPr>
        <w:spacing w:after="120" w:before="60"/>
      </w:pPr>
      <w:r>
        <w:rPr>
          <w:rFonts w:ascii="Calibri" w:cs="Calibri" w:eastAsia="Calibri" w:hAnsi="Calibri"/>
          <w:b/>
          <w:bCs/>
          <w:sz w:val="22"/>
          <w:szCs w:val="22"/>
        </w:rPr>
        <w:t xml:space="preserve">By Kari Freyr McKern | Epiphenomenon@Trove Research Project | August 2026</w:t>
      </w:r>
    </w:p>
    <w:p>
      <w:pPr>
        <w:spacing w:after="240"/>
      </w:pPr>
      <w:r>
        <w:rPr>
          <w:rFonts w:ascii="Georgia" w:cs="Georgia" w:eastAsia="Georgia" w:hAnsi="Georgia"/>
          <w:sz w:val="24"/>
          <w:szCs w:val="24"/>
        </w:rPr>
        <w:t xml:space="preserve"/>
      </w:r>
    </w:p>
    <w:p>
      <w:pPr>
        <w:spacing w:after="180" w:line="280"/>
      </w:pPr>
      <w:r>
        <w:rPr>
          <w:rFonts w:ascii="Georgia" w:cs="Georgia" w:eastAsia="Georgia" w:hAnsi="Georgia"/>
          <w:sz w:val="24"/>
          <w:szCs w:val="24"/>
        </w:rPr>
        <w:t xml:space="preserve">There is a phrase so familiar in Australian political life that it has ceased to register as remarkable. Robert Menzies used it first in its modern form: Australia needed "great and powerful friends." He said it without embarrassment, and his successors — of every stripe — have lived by it without revision. The phrase has outlasted the British Empire, survived the Cold War, absorbed Vietnam, Iraq, and Afghanistan, and now frames the justification for a nuclear submarine program costing hundreds of billions of dollars. It is treated as wisdom. It is, in fact, a symptom.</w:t>
      </w:r>
    </w:p>
    <w:p>
      <w:pPr>
        <w:spacing w:after="180" w:line="280"/>
      </w:pPr>
      <w:r>
        <w:rPr>
          <w:rFonts w:ascii="Georgia" w:cs="Georgia" w:eastAsia="Georgia" w:hAnsi="Georgia"/>
          <w:sz w:val="24"/>
          <w:szCs w:val="24"/>
        </w:rPr>
        <w:t xml:space="preserve">The doctrine of great and powerful friends is not a foreign policy. It is the public face of a structural condition — one that was built into Australia's institutional architecture at the moment of colonial founding, reproduced through every subsequent generation, and never corrected. To understand why Australia remains, in the early twenty-first century, as strategically dependent as it was in the mid-nineteenth, you have to look not at the personalities of prime ministers or the malice of adversaries, but at the deep architecture of the society itself.</w:t>
      </w:r>
    </w:p>
    <w:p>
      <w:pPr>
        <w:spacing w:after="180" w:line="280"/>
      </w:pPr>
      <w:r>
        <w:rPr>
          <w:rFonts w:ascii="Georgia" w:cs="Georgia" w:eastAsia="Georgia" w:hAnsi="Georgia"/>
          <w:sz w:val="24"/>
          <w:szCs w:val="24"/>
        </w:rPr>
        <w:t xml:space="preserve">My CAMS-CAN framework — the Complex Adaptive Model Sybond / Catch-All Network — analyses societies as complex adaptive systems composed of interdependent nodes: Helm (executive governance), Shield (military capacity and security), Stewards (capital and property-owning class), Hands (labour and productive workforce), Flow (trade and commerce), Craft (innovation and technical capability), Archive (institutional memory and law), and Lore (cultural identity and narrative). Healthy societies maintain rough balance across these nodes. Structural pathology emerges when chronic gaps open between them and are never closed.</w:t>
      </w:r>
    </w:p>
    <w:p>
      <w:pPr>
        <w:pStyle w:val="Heading2"/>
        <w:spacing w:after="200" w:before="480"/>
      </w:pPr>
      <w:r>
        <w:rPr>
          <w:rFonts w:ascii="Calibri" w:cs="Calibri" w:eastAsia="Calibri" w:hAnsi="Calibri"/>
          <w:b/>
          <w:bCs/>
          <w:sz w:val="28"/>
          <w:szCs w:val="28"/>
        </w:rPr>
        <w:t xml:space="preserve">The 1850 Baseline</w:t>
      </w:r>
    </w:p>
    <w:p>
      <w:pPr>
        <w:spacing w:after="180" w:line="280"/>
      </w:pPr>
      <w:r>
        <w:rPr>
          <w:rFonts w:ascii="Georgia" w:cs="Georgia" w:eastAsia="Georgia" w:hAnsi="Georgia"/>
          <w:sz w:val="24"/>
          <w:szCs w:val="24"/>
        </w:rPr>
        <w:t xml:space="preserve">When I apply my CAMS scoring to colonial Australia in 1850, the profile is immediately diagnostic. The Helm node records a coherence score of 0.9 — British colonial governors administered effectively. Archive scores 0.9 — colonial records, laws, and financial systems were robust. Stewards, the property-owning class, also scores 0.9, reflecting the coherent power of the pastoral and merchant elite. But Shield — military capacity, the ability to defend the territory independently — scores 0.8 in nominal coherence and just 0.7 in capacity, and crucially, nearly all of that capacity was British in origin. Australia in 1850 had no independent military. It had British troops stationed on its soil.</w:t>
      </w:r>
    </w:p>
    <w:p>
      <w:pPr>
        <w:spacing w:after="180" w:line="280"/>
      </w:pPr>
      <w:r>
        <w:rPr>
          <w:rFonts w:ascii="Georgia" w:cs="Georgia" w:eastAsia="Georgia" w:hAnsi="Georgia"/>
          <w:sz w:val="24"/>
          <w:szCs w:val="24"/>
        </w:rPr>
        <w:t xml:space="preserve">That single structural fact — a developed Helm and Stewards without a developed Shield — is the founding condition from which everything else follows. It is not that Australia's leaders chose dependence through cowardice or lack of imagination. It is that the society was never constructed with the node endowment that strategic autonomy requires. The gap between Helm ambition and Shield capacity was built in.</w:t>
      </w:r>
    </w:p>
    <w:p>
      <w:pPr>
        <w:pStyle w:val="Heading2"/>
        <w:spacing w:after="200" w:before="480"/>
      </w:pPr>
      <w:r>
        <w:rPr>
          <w:rFonts w:ascii="Calibri" w:cs="Calibri" w:eastAsia="Calibri" w:hAnsi="Calibri"/>
          <w:b/>
          <w:bCs/>
          <w:sz w:val="28"/>
          <w:szCs w:val="28"/>
        </w:rPr>
        <w:t xml:space="preserve">A Federation Without Foundations</w:t>
      </w:r>
    </w:p>
    <w:p>
      <w:pPr>
        <w:spacing w:after="180" w:line="280"/>
      </w:pPr>
      <w:r>
        <w:rPr>
          <w:rFonts w:ascii="Georgia" w:cs="Georgia" w:eastAsia="Georgia" w:hAnsi="Georgia"/>
          <w:sz w:val="24"/>
          <w:szCs w:val="24"/>
        </w:rPr>
        <w:t xml:space="preserve">The 1901 Federation is usually narrated as the birth of Australian nationhood. In CAMS terms it was something more complicated: it created a sovereign Helm node — a federal government with real executive authority — while leaving Shield, Craft, and the domestic Stewards base substantially underdeveloped. The new Commonwealth could make laws and set tariffs. It could not defend itself. It did not finance itself with domestic capital. Its property-owning class was still underwritten by London merchant banks and British pastoral finance. The institutional architecture of dependency simply acquired a new administrative layer on top while its structural foundations remained unchanged.</w:t>
      </w:r>
    </w:p>
    <w:p>
      <w:pPr>
        <w:spacing w:after="180" w:line="280"/>
      </w:pPr>
      <w:r>
        <w:rPr>
          <w:rFonts w:ascii="Georgia" w:cs="Georgia" w:eastAsia="Georgia" w:hAnsi="Georgia"/>
          <w:sz w:val="24"/>
          <w:szCs w:val="24"/>
        </w:rPr>
        <w:t xml:space="preserve">This matters because institutions reproduce themselves. The Lore node — the cultural identity and narrative systems of a society — encodes successful adaptive strategies and transmits them across generations. From the moment of Federation, the dominant adaptive strategy in Australia's Lore was clear: attach to a powerful patron, contribute to that patron's wars, and rely on the relationship for security in return. It worked often enough — Britain did send the fleet to the Pacific in 1914, America did arrive after Pearl Harbour — that the strategy became self-reinforcing. In my CAMS framework this is a Balancing loop that never triggers its corrective mechanism: the dependency produces enough security often enough that the underlying structural gap is never experienced as a crisis requiring structural reform.</w:t>
      </w:r>
    </w:p>
    <w:p>
      <w:pPr>
        <w:pStyle w:val="Heading2"/>
        <w:spacing w:after="200" w:before="480"/>
      </w:pPr>
      <w:r>
        <w:rPr>
          <w:rFonts w:ascii="Calibri" w:cs="Calibri" w:eastAsia="Calibri" w:hAnsi="Calibri"/>
          <w:b/>
          <w:bCs/>
          <w:sz w:val="28"/>
          <w:szCs w:val="28"/>
        </w:rPr>
        <w:t xml:space="preserve">The Singapore Moment and the Transfer of Patrons</w:t>
      </w:r>
    </w:p>
    <w:p>
      <w:pPr>
        <w:spacing w:after="180" w:line="280"/>
      </w:pPr>
      <w:r>
        <w:rPr>
          <w:rFonts w:ascii="Georgia" w:cs="Georgia" w:eastAsia="Georgia" w:hAnsi="Georgia"/>
          <w:sz w:val="24"/>
          <w:szCs w:val="24"/>
        </w:rPr>
        <w:t xml:space="preserve">The fall of Singapore in February 1942 is remembered as Australia's great strategic shock — the moment when the British Empire demonstrably could not protect its Pacific dominion. It was, and it was experienced that way. John Curtin's pivot to Washington in late 1941 — "free of any pangs as to our traditional links with the United Kingdom" — is often cited as the assertion of Australian strategic independence.</w:t>
      </w:r>
    </w:p>
    <w:p>
      <w:pPr>
        <w:spacing w:after="180" w:line="280"/>
      </w:pPr>
      <w:r>
        <w:rPr>
          <w:rFonts w:ascii="Georgia" w:cs="Georgia" w:eastAsia="Georgia" w:hAnsi="Georgia"/>
          <w:sz w:val="24"/>
          <w:szCs w:val="24"/>
        </w:rPr>
        <w:t xml:space="preserve">But look at the structural outcome rather than the rhetorical gesture. What actually changed? Shield remained externally dependent — on American forces, American logistics, American nuclear deterrence. Stewards remained substantially foreign-capitalised, now increasingly through American direct investment rather than British. Archive was reformatted to fit the American alliance system — the ANZUS Treaty of 1951, the Five Eyes intelligence-sharing architecture, and ultimately the AUKUS agreement of 2021. The patron changed. The structural node profile did not.</w:t>
      </w:r>
    </w:p>
    <w:p>
      <w:pPr>
        <w:spacing w:after="180" w:line="280"/>
      </w:pPr>
      <w:r>
        <w:rPr>
          <w:rFonts w:ascii="Georgia" w:cs="Georgia" w:eastAsia="Georgia" w:hAnsi="Georgia"/>
          <w:sz w:val="24"/>
          <w:szCs w:val="24"/>
        </w:rPr>
        <w:t xml:space="preserve">It was Menzies who completed the ideological encoding of this arrangement. By coining "great and powerful friends" as the explicit doctrinal statement of Australian foreign policy, he converted what was a structural condition into a virtue. Dependency became wisdom. The Lore node absorbed the transfer and produced a new generation of policymakers for whom alliance loyalty was not a constraint on sovereignty but its very expression. The Archive-Lore feedback loop — the reinforcing relationship between institutional memory and cultural narrative — ensured the schema would reproduce itself without needing to be consciously taught. It was simply the water in which Australian strategic thinking swam.</w:t>
      </w:r>
    </w:p>
    <w:p>
      <w:pPr>
        <w:pStyle w:val="Heading2"/>
        <w:spacing w:after="200" w:before="480"/>
      </w:pPr>
      <w:r>
        <w:rPr>
          <w:rFonts w:ascii="Calibri" w:cs="Calibri" w:eastAsia="Calibri" w:hAnsi="Calibri"/>
          <w:b/>
          <w:bCs/>
          <w:sz w:val="28"/>
          <w:szCs w:val="28"/>
        </w:rPr>
        <w:t xml:space="preserve">What the Numbers Show Across a Century</w:t>
      </w:r>
    </w:p>
    <w:p>
      <w:pPr>
        <w:spacing w:after="180" w:line="280"/>
      </w:pPr>
      <w:r>
        <w:rPr>
          <w:rFonts w:ascii="Georgia" w:cs="Georgia" w:eastAsia="Georgia" w:hAnsi="Georgia"/>
          <w:sz w:val="24"/>
          <w:szCs w:val="24"/>
        </w:rPr>
        <w:t xml:space="preserve">The persistence of this structural gap is not inference — it is measurable. In my CAMS-CAN longitudinal scoring of Australia from 1850 to 2000, the Shield node rises in absolute terms as the nation develops and modernises, from a Node Value of 2.72 in 1850 to 3.46 in 1950. But relative to the demands placed on it by an increasingly ambitious Helm — and relative to the external security environment Australian governments have consistently described as threatening — Shield never catches up. The gap between what Australia's executive aspires to and what its defence institutions can deliver independently has remained a chronic structural feature across 170 years of my CAMS data.</w:t>
      </w:r>
    </w:p>
    <w:p>
      <w:pPr>
        <w:spacing w:after="180" w:line="280"/>
      </w:pPr>
      <w:r>
        <w:rPr>
          <w:rFonts w:ascii="Georgia" w:cs="Georgia" w:eastAsia="Georgia" w:hAnsi="Georgia"/>
          <w:sz w:val="24"/>
          <w:szCs w:val="24"/>
        </w:rPr>
        <w:t xml:space="preserve">This has a precise systemic consequence. In my CAMS-CAN analysis, when Helm ambition chronically exceeds Shield capacity, the society will seek an external compensator. That compensator will, over time, gain influence over the Helm it is compensating. The external patron becomes a structural participant in domestic governance — not through conspiracy or coercion, but through the ordinary logic of dependency. A government that cannot defend itself without American bases, American intelligence, American diplomatic cover, and American nuclear deterrence will — over time, through the normal operation of institutional incentives — make decisions consistent with American preferences, whether or not it is explicitly directed to do so.</w:t>
      </w:r>
    </w:p>
    <w:p>
      <w:pPr>
        <w:pStyle w:val="Heading2"/>
        <w:spacing w:after="200" w:before="480"/>
      </w:pPr>
      <w:r>
        <w:rPr>
          <w:rFonts w:ascii="Calibri" w:cs="Calibri" w:eastAsia="Calibri" w:hAnsi="Calibri"/>
          <w:b/>
          <w:bCs/>
          <w:sz w:val="28"/>
          <w:szCs w:val="28"/>
        </w:rPr>
        <w:t xml:space="preserve">The Doctrine That Cannot End</w:t>
      </w:r>
    </w:p>
    <w:p>
      <w:pPr>
        <w:spacing w:after="180" w:line="280"/>
      </w:pPr>
      <w:r>
        <w:rPr>
          <w:rFonts w:ascii="Georgia" w:cs="Georgia" w:eastAsia="Georgia" w:hAnsi="Georgia"/>
          <w:sz w:val="24"/>
          <w:szCs w:val="24"/>
        </w:rPr>
        <w:t xml:space="preserve">Robert Menzies did not invent the condition he named. He simply gave it a slogan. What makes "great and powerful friends" more than a rhetorical convenience is that it functions as a Lore anchor — a condensed cultural symbol that organises how subsequent generations of decision-makers frame their choices. When the phrase is invoked, it activates the entire historical schema: the fall of Singapore, the American rescue, the Cold War partnership, the shared sacrifices of Korea and Vietnam and the rest. It forecloses alternatives before they can be seriously analysed.</w:t>
      </w:r>
    </w:p>
    <w:p>
      <w:pPr>
        <w:spacing w:after="180" w:line="280"/>
      </w:pPr>
      <w:r>
        <w:rPr>
          <w:rFonts w:ascii="Georgia" w:cs="Georgia" w:eastAsia="Georgia" w:hAnsi="Georgia"/>
          <w:sz w:val="24"/>
          <w:szCs w:val="24"/>
        </w:rPr>
        <w:t xml:space="preserve">That is the mechanism by which a structural condition becomes a cultural conviction, and a cultural conviction becomes unchallengeable policy. It is not uniquely Australian — all societies encode their dominant adaptive strategies in Lore, and all Lore tends toward self-preservation. But Australia's case is unusual in that the adaptive strategy being preserved is structural dependency itself. Most national Lore celebrates self-reliance, founding struggles, the assertion of independence. Australian Lore, at its strategic core, celebrates the wisdom of finding the right protector.</w:t>
      </w:r>
    </w:p>
    <w:p>
      <w:pPr>
        <w:spacing w:after="180" w:line="280"/>
      </w:pPr>
      <w:r>
        <w:rPr>
          <w:rFonts w:ascii="Georgia" w:cs="Georgia" w:eastAsia="Georgia" w:hAnsi="Georgia"/>
          <w:sz w:val="24"/>
          <w:szCs w:val="24"/>
        </w:rPr>
        <w:t xml:space="preserve">My CAMS framework does not render a moral verdict on this. It simply describes what the data shows: a society whose Shield and Craft nodes have chronically trailed its Helm and Flow for 175 years, whose Stewards class has been substantially foreign-owned since the colonial era, and whose Lore has encoded the resulting dependency as virtue rather than vulnerability.</w:t>
      </w:r>
    </w:p>
    <w:p>
      <w:pPr>
        <w:spacing w:after="180" w:line="280"/>
      </w:pPr>
      <w:r>
        <w:rPr>
          <w:rFonts w:ascii="Georgia" w:cs="Georgia" w:eastAsia="Georgia" w:hAnsi="Georgia"/>
          <w:sz w:val="24"/>
          <w:szCs w:val="24"/>
        </w:rPr>
        <w:t xml:space="preserve">Until those structural gaps close — until Shield and Craft develop sufficient domestic capacity to give Helm genuine strategic choices — the doctrine of great and powerful friends will reproduce itself regardless of which party holds office, regardless of which threat is named, and regardless of the rhetoric of sovereignty that accompanies each successive announcement. The nation is borrowed. The question no one in mainstream politics is yet willing to ask is: from whom, and at what cost, and whether it might ever be repaid.</w:t>
      </w:r>
    </w:p>
    <w:p>
      <w:pPr>
        <w:spacing w:after="120"/>
      </w:pPr>
      <w:r>
        <w:rPr>
          <w:rFonts w:ascii="Georgia" w:cs="Georgia" w:eastAsia="Georgia" w:hAnsi="Georgia"/>
          <w:i/>
          <w:iCs/>
          <w:sz w:val="20"/>
          <w:szCs w:val="20"/>
        </w:rPr>
        <w:t xml:space="preserve">This is Essay One of five in The Borrowed Nation series. Full CAMS data underlying this analysis is available at neuralnations.org/datasets.</w:t>
      </w:r>
    </w:p>
    <w:p>
      <w:r>
        <w:br w:type="page"/>
      </w:r>
    </w:p>
    <w:p>
      <w:pPr>
        <w:spacing w:after="120"/>
        <w:jc w:val="center"/>
      </w:pPr>
      <w:r>
        <w:rPr>
          <w:rFonts w:ascii="Calibri" w:cs="Calibri" w:eastAsia="Calibri" w:hAnsi="Calibri"/>
          <w:b/>
          <w:bCs/>
          <w:sz w:val="26"/>
          <w:szCs w:val="26"/>
        </w:rPr>
        <w:t xml:space="preserve">Essay Two</w:t>
      </w:r>
    </w:p>
    <w:p>
      <w:pPr>
        <w:pStyle w:val="Heading1"/>
        <w:spacing w:after="240" w:before="0"/>
      </w:pPr>
      <w:r>
        <w:rPr>
          <w:rFonts w:ascii="Calibri" w:cs="Calibri" w:eastAsia="Calibri" w:hAnsi="Calibri"/>
          <w:b/>
          <w:bCs/>
          <w:sz w:val="40"/>
          <w:szCs w:val="40"/>
        </w:rPr>
        <w:t xml:space="preserve">The Colonised Stewards</w:t>
      </w:r>
    </w:p>
    <w:p>
      <w:pPr>
        <w:pStyle w:val="Heading2"/>
        <w:spacing w:after="200" w:before="480"/>
      </w:pPr>
      <w:r>
        <w:rPr>
          <w:rFonts w:ascii="Calibri" w:cs="Calibri" w:eastAsia="Calibri" w:hAnsi="Calibri"/>
          <w:b/>
          <w:bCs/>
          <w:sz w:val="28"/>
          <w:szCs w:val="28"/>
        </w:rPr>
        <w:t xml:space="preserve">Foreign Ownership of Australia's Capital Node</w:t>
      </w:r>
    </w:p>
    <w:p>
      <w:pPr>
        <w:spacing w:after="120" w:before="60"/>
      </w:pPr>
      <w:r>
        <w:rPr>
          <w:rFonts w:ascii="Calibri" w:cs="Calibri" w:eastAsia="Calibri" w:hAnsi="Calibri"/>
          <w:b/>
          <w:bCs/>
          <w:sz w:val="22"/>
          <w:szCs w:val="22"/>
        </w:rPr>
        <w:t xml:space="preserve">By Kari Freyr McKern | Epiphenomenon@Trove Research Project | August 2026</w:t>
      </w:r>
    </w:p>
    <w:p>
      <w:pPr>
        <w:spacing w:after="240"/>
      </w:pPr>
      <w:r>
        <w:rPr>
          <w:rFonts w:ascii="Georgia" w:cs="Georgia" w:eastAsia="Georgia" w:hAnsi="Georgia"/>
          <w:sz w:val="24"/>
          <w:szCs w:val="24"/>
        </w:rPr>
        <w:t xml:space="preserve"/>
      </w:r>
    </w:p>
    <w:p>
      <w:pPr>
        <w:pStyle w:val="Heading3"/>
        <w:spacing w:after="160" w:before="320"/>
      </w:pPr>
      <w:r>
        <w:rPr>
          <w:rFonts w:ascii="Calibri" w:cs="Calibri" w:eastAsia="Calibri" w:hAnsi="Calibri"/>
          <w:b/>
          <w:bCs/>
          <w:sz w:val="24"/>
          <w:szCs w:val="24"/>
        </w:rPr>
        <w:t xml:space="preserve">The Stewards Node in CAMS-CAN</w:t>
      </w:r>
    </w:p>
    <w:p>
      <w:pPr>
        <w:spacing w:after="180" w:line="280"/>
      </w:pPr>
      <w:r>
        <w:rPr>
          <w:rFonts w:ascii="Georgia" w:cs="Georgia" w:eastAsia="Georgia" w:hAnsi="Georgia"/>
          <w:sz w:val="24"/>
          <w:szCs w:val="24"/>
        </w:rPr>
        <w:t xml:space="preserve">In my CAMS-CAN framework, the Stewards node represents the capital-owning class: those who hold, direct, and accumulate productive wealth within a society. Its health is measured by coherence (alignment of interests toward domestic goals), capacity (ability to mobilise and retain capital), stress (internal contradictions and external pressures), and abstraction (institutional sophistication). A society with a strong, domestically coherent Stewards node possesses one of the most critical adaptive assets in the model — the ability to direct surplus toward its own transformation.</w:t>
      </w:r>
    </w:p>
    <w:p>
      <w:pPr>
        <w:spacing w:after="180" w:line="280"/>
      </w:pPr>
      <w:r>
        <w:rPr>
          <w:rFonts w:ascii="Georgia" w:cs="Georgia" w:eastAsia="Georgia" w:hAnsi="Georgia"/>
          <w:sz w:val="24"/>
          <w:szCs w:val="24"/>
        </w:rPr>
        <w:t xml:space="preserve">My project files reveal that the Property Owners node has consistently scored high on capacity but persistently low on domestic coherence, because it has never truly been domestically owned. From the squattocracy of 1850 through to the multinational mining giants of 2025, the Australian Stewards node has been, to a remarkable degree, externally controlled. The systemic consequences of this are not incidental — they are structurally determinative.</w:t>
      </w:r>
    </w:p>
    <w:p>
      <w:pPr>
        <w:pStyle w:val="Heading3"/>
        <w:spacing w:after="160" w:before="320"/>
      </w:pPr>
      <w:r>
        <w:rPr>
          <w:rFonts w:ascii="Calibri" w:cs="Calibri" w:eastAsia="Calibri" w:hAnsi="Calibri"/>
          <w:b/>
          <w:bCs/>
          <w:sz w:val="24"/>
          <w:szCs w:val="24"/>
        </w:rPr>
        <w:t xml:space="preserve">The Colonial Foundation: British Capital and the Squattocracy</w:t>
      </w:r>
    </w:p>
    <w:p>
      <w:pPr>
        <w:spacing w:after="180" w:line="280"/>
      </w:pPr>
      <w:r>
        <w:rPr>
          <w:rFonts w:ascii="Georgia" w:cs="Georgia" w:eastAsia="Georgia" w:hAnsi="Georgia"/>
          <w:sz w:val="24"/>
          <w:szCs w:val="24"/>
        </w:rPr>
        <w:t xml:space="preserve">The foreign ownership of Australia's productive assets is not a modern pathology; it is the founding condition of the state. In my 1850 CAMS scoring run, the Property Owners node scores with high capacity but with its coherence and impact substantially dependent on the external metropolitan power. The pastoral economy — wool and cattle on vast stations — was capitalised from London through merchant banks and pastoral finance companies like Elders, Dalgety, and the Australian Mercantile Land and Finance Company, all of which were ultimately instruments of British capital. The squatters held legal title to land, but the financial architecture behind them — the mortgages, the commodity trading margins, the shipping — flowed back to the City of London. This is the original Stewards node structure in Australia: nominally domestic faces on fundamentally foreign capital. It established a path dependency that persists today.</w:t>
      </w:r>
    </w:p>
    <w:p>
      <w:pPr>
        <w:pStyle w:val="Heading3"/>
        <w:spacing w:after="160" w:before="320"/>
      </w:pPr>
      <w:r>
        <w:rPr>
          <w:rFonts w:ascii="Calibri" w:cs="Calibri" w:eastAsia="Calibri" w:hAnsi="Calibri"/>
          <w:b/>
          <w:bCs/>
          <w:sz w:val="24"/>
          <w:szCs w:val="24"/>
        </w:rPr>
        <w:t xml:space="preserve">The American Succession and the Mining Boom</w:t>
      </w:r>
    </w:p>
    <w:p>
      <w:pPr>
        <w:spacing w:after="180" w:line="280"/>
      </w:pPr>
      <w:r>
        <w:rPr>
          <w:rFonts w:ascii="Georgia" w:cs="Georgia" w:eastAsia="Georgia" w:hAnsi="Georgia"/>
          <w:sz w:val="24"/>
          <w:szCs w:val="24"/>
        </w:rPr>
        <w:t xml:space="preserve">After World War II, the patron of the Stewards node changed but its alien character did not. By 1950, and accelerating sharply through the 1960s mineral boom, American and British corporate capital colonised the mining sector. My 1950 CAMS run captures the rising capacity of the Property Owners node in post-war Australia — but the source of that rising capacity was increasingly external direct investment rather than domestically accumulated surplus.</w:t>
      </w:r>
    </w:p>
    <w:p>
      <w:pPr>
        <w:spacing w:after="180" w:line="280"/>
      </w:pPr>
      <w:r>
        <w:rPr>
          <w:rFonts w:ascii="Georgia" w:cs="Georgia" w:eastAsia="Georgia" w:hAnsi="Georgia"/>
          <w:sz w:val="24"/>
          <w:szCs w:val="24"/>
        </w:rPr>
        <w:t xml:space="preserve">The figures are stark. Australia's mining industry is approximately 86% foreign-owned; BHP, the flagship Australian miner, is 76% foreign-owned, and Rio Tinto is 83% foreign-owned. A 2017 Australia Institute analysis found that less than 10% of major mining projects underway were solely Australian-owned, and that foreign investment accounts for 86% of ownership of those projects — with the United States holding 26% and the United Kingdom 27%. In systems terms, this means Australia's most productive and highest-value node within the Stewards category has, throughout the entire era of resource wealth, been a conduit for transferring rent outward rather than recycling surplus into domestic adaptive capacity.</w:t>
      </w:r>
    </w:p>
    <w:p>
      <w:pPr>
        <w:pStyle w:val="Heading3"/>
        <w:spacing w:after="160" w:before="320"/>
      </w:pPr>
      <w:r>
        <w:rPr>
          <w:rFonts w:ascii="Calibri" w:cs="Calibri" w:eastAsia="Calibri" w:hAnsi="Calibri"/>
          <w:b/>
          <w:bCs/>
          <w:sz w:val="24"/>
          <w:szCs w:val="24"/>
        </w:rPr>
        <w:t xml:space="preserve">The Current Structure: Who Owns What</w:t>
      </w:r>
    </w:p>
    <w:p>
      <w:pPr>
        <w:spacing w:after="180" w:line="280"/>
      </w:pPr>
      <w:r>
        <w:rPr>
          <w:rFonts w:ascii="Georgia" w:cs="Georgia" w:eastAsia="Georgia" w:hAnsi="Georgia"/>
          <w:sz w:val="24"/>
          <w:szCs w:val="24"/>
        </w:rPr>
        <w:t xml:space="preserve">As of December 2024, Australia holds $5.1 trillion in total foreign investment liabilities. The United States is by far the dominant external Steward, holding $1,355.5 billion in foreign capital in Australia, followed by the European Union at $869.3 billion and the United Kingdom at $839.1 billion. Japan holds $282.9 billion. China — despite dominating political anxiety and FIRB scrutiny — holds only $73.4 billion, a fraction of the Anglosphere capital presence.</w:t>
      </w:r>
    </w:p>
    <w:p>
      <w:pPr>
        <w:spacing w:after="180" w:line="280"/>
      </w:pPr>
      <w:r>
        <w:rPr>
          <w:rFonts w:ascii="Georgia" w:cs="Georgia" w:eastAsia="Georgia" w:hAnsi="Georgia"/>
          <w:sz w:val="24"/>
          <w:szCs w:val="24"/>
        </w:rPr>
        <w:t xml:space="preserve">This asymmetry is critically important for my CAMS-CAN reading: the rhetoric of national security investment review has been disproportionately targeted at Chinese capital, which is the smallest of the major players, while Anglo-American capital — which structurally dominates the Stewards node — receives almost no equivalent political scrutiny. The Archive node (institutional memory and media framing) systematically reinforces this asymmetry, producing what my CAMS-CAN framework identifies as a coherence-suppressing feedback loop that protects foreign Steward dominance from democratic challenge.</w:t>
      </w:r>
    </w:p>
    <w:p>
      <w:pPr>
        <w:pStyle w:val="Heading3"/>
        <w:spacing w:after="160" w:before="320"/>
      </w:pPr>
      <w:r>
        <w:rPr>
          <w:rFonts w:ascii="Calibri" w:cs="Calibri" w:eastAsia="Calibri" w:hAnsi="Calibri"/>
          <w:b/>
          <w:bCs/>
          <w:sz w:val="24"/>
          <w:szCs w:val="24"/>
        </w:rPr>
        <w:t xml:space="preserve">Agricultural Land: The Visible Edge of an Invisible Problem</w:t>
      </w:r>
    </w:p>
    <w:p>
      <w:pPr>
        <w:spacing w:after="180" w:line="280"/>
      </w:pPr>
      <w:r>
        <w:rPr>
          <w:rFonts w:ascii="Georgia" w:cs="Georgia" w:eastAsia="Georgia" w:hAnsi="Georgia"/>
          <w:sz w:val="24"/>
          <w:szCs w:val="24"/>
        </w:rPr>
        <w:t xml:space="preserve">Foreign ownership of agricultural land has become the most publicly contested dimension of the Stewards issue, partly because it is measurable in hectares. As of 30 June 2025, 50.26 million hectares of Australian agricultural land — 13.0% of the national total — carries some level of foreign ownership. The United Kingdom is the single largest foreign land-holder at 7.66 million hectares; China is second at 6.54 million hectares. Yet the political energy devoted to Chinese agricultural acquisitions has been disproportionate to China's actual scale of land-holding, which is less than the UK. In CAMS terms, this is an Archive-Helm feedback loop producing selective threat-inflation: the Helm (executive) node responds to Archive-generated narratives rather than to the actual structural distribution of Steward ownership.</w:t>
      </w:r>
    </w:p>
    <w:p>
      <w:pPr>
        <w:pStyle w:val="Heading3"/>
        <w:spacing w:after="160" w:before="320"/>
      </w:pPr>
      <w:r>
        <w:rPr>
          <w:rFonts w:ascii="Calibri" w:cs="Calibri" w:eastAsia="Calibri" w:hAnsi="Calibri"/>
          <w:b/>
          <w:bCs/>
          <w:sz w:val="24"/>
          <w:szCs w:val="24"/>
        </w:rPr>
        <w:t xml:space="preserve">The Fossil Rent Lock</w:t>
      </w:r>
    </w:p>
    <w:p>
      <w:pPr>
        <w:spacing w:after="180" w:line="280"/>
      </w:pPr>
      <w:r>
        <w:rPr>
          <w:rFonts w:ascii="Georgia" w:cs="Georgia" w:eastAsia="Georgia" w:hAnsi="Georgia"/>
          <w:sz w:val="24"/>
          <w:szCs w:val="24"/>
        </w:rPr>
        <w:t xml:space="preserve">There is a deeper systemic problem than ownership percentages alone. Because the Australian Stewards node — in its most profitable and strategically powerful form — is dominated by foreign fossil fuel and mining corporations, those corporations have a structural incentive to suppress the development of the Craft node (technology, manufacturing, knowledge economy) and the Shield node's domestic industrial base. This is the mechanism my CAMS work has identified as the Fossil Rent Lock: the foreign-owned Stewards extract resource rents, lobby through their proxies in the Helm node to prevent industrial policy, and thereby perpetuate Australia's structural position as a quarry rather than a manufacturer.</w:t>
      </w:r>
    </w:p>
    <w:p>
      <w:pPr>
        <w:spacing w:after="180" w:line="280"/>
      </w:pPr>
      <w:r>
        <w:rPr>
          <w:rFonts w:ascii="Georgia" w:cs="Georgia" w:eastAsia="Georgia" w:hAnsi="Georgia"/>
          <w:sz w:val="24"/>
          <w:szCs w:val="24"/>
        </w:rPr>
        <w:t xml:space="preserve">The failure to develop downstream processing of lithium, rare earths, iron ore, and alumina — all industries where Australia possesses the raw material advantage — is not simply a failure of entrepreneurial imagination. It is the predictable output of a system in which the dominant Stewards have a direct financial interest in exporting raw materials and importing manufactured goods. Domestic Craft node development would threaten the rent-extraction model.</w:t>
      </w:r>
    </w:p>
    <w:p>
      <w:pPr>
        <w:pStyle w:val="Heading3"/>
        <w:spacing w:after="160" w:before="320"/>
      </w:pPr>
      <w:r>
        <w:rPr>
          <w:rFonts w:ascii="Calibri" w:cs="Calibri" w:eastAsia="Calibri" w:hAnsi="Calibri"/>
          <w:b/>
          <w:bCs/>
          <w:sz w:val="24"/>
          <w:szCs w:val="24"/>
        </w:rPr>
        <w:t xml:space="preserve">The FIRB Paradox and Democratic Accountability</w:t>
      </w:r>
    </w:p>
    <w:p>
      <w:pPr>
        <w:spacing w:after="180" w:line="280"/>
      </w:pPr>
      <w:r>
        <w:rPr>
          <w:rFonts w:ascii="Georgia" w:cs="Georgia" w:eastAsia="Georgia" w:hAnsi="Georgia"/>
          <w:sz w:val="24"/>
          <w:szCs w:val="24"/>
        </w:rPr>
        <w:t xml:space="preserve">The Foreign Investment Review Board process encodes a fundamental contradiction. Its formal mandate is to assess whether foreign investments are contrary to the national interest. Yet the framework applies thresholds of just A$15 million for agricultural land but allows portfolio investment running into hundreds of billions of dollars by US and UK financial institutions to proceed with virtually no scrutiny. Foreign government investors — sovereign wealth funds and state-owned enterprises — face a zero-dollar threshold for agricultural land, making Chinese state-owned entities more visible and more regulated than the vastly larger pools of US and UK institutional capital.</w:t>
      </w:r>
    </w:p>
    <w:p>
      <w:pPr>
        <w:spacing w:after="180" w:line="280"/>
      </w:pPr>
      <w:r>
        <w:rPr>
          <w:rFonts w:ascii="Georgia" w:cs="Georgia" w:eastAsia="Georgia" w:hAnsi="Georgia"/>
          <w:sz w:val="24"/>
          <w:szCs w:val="24"/>
        </w:rPr>
        <w:t xml:space="preserve">The paradox is that the FIRB system, rather than protecting the Australian Stewards node, has functioned as a legitimating mechanism that channels domestic anxieties toward small Chinese acquisitions while the structural colonisation of the node by Anglosphere capital continues undisturbed. In my CAMS-CAN terms, the Archive node — supposed to provide corrective feedback — has been captured by the Helm and functions to reproduce the system's existing power distribution rather than to challenge it.</w:t>
      </w:r>
    </w:p>
    <w:p>
      <w:pPr>
        <w:pStyle w:val="Heading3"/>
        <w:spacing w:after="160" w:before="320"/>
      </w:pPr>
      <w:r>
        <w:rPr>
          <w:rFonts w:ascii="Calibri" w:cs="Calibri" w:eastAsia="Calibri" w:hAnsi="Calibri"/>
          <w:b/>
          <w:bCs/>
          <w:sz w:val="24"/>
          <w:szCs w:val="24"/>
        </w:rPr>
        <w:t xml:space="preserve">CAMS Node Implications: A Structural Assessment</w:t>
      </w:r>
    </w:p>
    <w:p>
      <w:pPr>
        <w:spacing w:after="180" w:line="280"/>
      </w:pPr>
      <w:r>
        <w:rPr>
          <w:rFonts w:ascii="Georgia" w:cs="Georgia" w:eastAsia="Georgia" w:hAnsi="Georgia"/>
          <w:sz w:val="24"/>
          <w:szCs w:val="24"/>
        </w:rPr>
        <w:t xml:space="preserve">Reading the foreign ownership pattern through the full CAMS node matrix, the implications cascade across the whole societal system. A Stewards node with low domestic coherence transmits chronic stress to the Hands node (labour): resource booms enriching foreign shareholders produce the "resources curse" dynamics of currency appreciation and wage inflation that hollow out the Craft and Trades nodes without building durable productive capacity. The Archive node — universities, media, think tanks — is partially funded by and institutionally aligned with the same foreign corporate interests, suppressing the development of an authentic domestic strategic discourse. The Helm node, lacking a domestically coherent Stewards class to fund and sustain an independent strategic vision, defaults to dependency on the patron whose capital is most deeply embedded in the system — which is Washington, not Beijing.</w:t>
      </w:r>
    </w:p>
    <w:p>
      <w:pPr>
        <w:spacing w:after="180" w:line="280"/>
      </w:pPr>
      <w:r>
        <w:rPr>
          <w:rFonts w:ascii="Georgia" w:cs="Georgia" w:eastAsia="Georgia" w:hAnsi="Georgia"/>
          <w:sz w:val="24"/>
          <w:szCs w:val="24"/>
        </w:rPr>
        <w:t xml:space="preserve">This is the structural mechanism linking foreign Steward ownership directly back to the "great and powerful friends" dynamic examined in Essay One: the supine quality of Australian foreign policy is not simply cultural cringe but is materially reproduced by a capital structure in which the most powerful private actors in the economy have a direct interest in Australia's continued strategic alignment with Washington and London.</w:t>
      </w:r>
    </w:p>
    <w:p>
      <w:pPr>
        <w:pStyle w:val="Heading3"/>
        <w:spacing w:after="160" w:before="320"/>
      </w:pPr>
      <w:r>
        <w:rPr>
          <w:rFonts w:ascii="Calibri" w:cs="Calibri" w:eastAsia="Calibri" w:hAnsi="Calibri"/>
          <w:b/>
          <w:bCs/>
          <w:sz w:val="24"/>
          <w:szCs w:val="24"/>
        </w:rPr>
        <w:t xml:space="preserve">Toward a Domestically Coherent Stewards Node</w:t>
      </w:r>
    </w:p>
    <w:p>
      <w:pPr>
        <w:spacing w:after="180" w:line="280"/>
      </w:pPr>
      <w:r>
        <w:rPr>
          <w:rFonts w:ascii="Georgia" w:cs="Georgia" w:eastAsia="Georgia" w:hAnsi="Georgia"/>
          <w:sz w:val="24"/>
          <w:szCs w:val="24"/>
        </w:rPr>
        <w:t xml:space="preserve">My CAMS-CAN framework does not prescribe economic nationalism as a solution — a simplistic inversion of the problem would generate its own coherence losses. What the model identifies as necessary is a rebalancing toward domestic Steward coherence sufficient to generate genuine strategic autonomy. This would require building a sovereign wealth fund of scale comparable to Norway's Government Pension Fund (which would itself be an Archive-Steward hybrid node), investing resource rents in domestic Craft and Archive development, and applying FIRB scrutiny symmetrically across all foreign capital rather than selectively at politically convenient targets.</w:t>
      </w:r>
    </w:p>
    <w:p>
      <w:pPr>
        <w:spacing w:after="180" w:line="280"/>
      </w:pPr>
      <w:r>
        <w:rPr>
          <w:rFonts w:ascii="Georgia" w:cs="Georgia" w:eastAsia="Georgia" w:hAnsi="Georgia"/>
          <w:sz w:val="24"/>
          <w:szCs w:val="24"/>
        </w:rPr>
        <w:t xml:space="preserve">The evidence from my CAMS historical runs shows that Australia's composite node scores have risen from 5.00 in 1850 to 11.00 in 2000, reflecting genuine development — but the Property Owners node has consistently been among the most externally oriented in the model. Correcting that structural bias is, in my CAMS terms, the single most consequential reform available to Australia for building the adaptive capacity the system currently lacks. The openness to foreign investment and strategic autonomy are not merely in tension — for as long as the Stewards node remains this heavily concentrated in Anglosphere capital, they are structurally contradictory.</w:t>
      </w:r>
    </w:p>
    <w:p>
      <w:pPr>
        <w:spacing w:after="120"/>
      </w:pPr>
      <w:r>
        <w:rPr>
          <w:rFonts w:ascii="Georgia" w:cs="Georgia" w:eastAsia="Georgia" w:hAnsi="Georgia"/>
          <w:i/>
          <w:iCs/>
          <w:sz w:val="20"/>
          <w:szCs w:val="20"/>
        </w:rPr>
        <w:t xml:space="preserve">This is Essay Two of five in The Borrowed Nation series. CAMS dataset for Australia 1850–2000 is available at neuralnations.org/datasets.</w:t>
      </w:r>
    </w:p>
    <w:p>
      <w:r>
        <w:br w:type="page"/>
      </w:r>
    </w:p>
    <w:p>
      <w:pPr>
        <w:spacing w:after="120"/>
        <w:jc w:val="center"/>
      </w:pPr>
      <w:r>
        <w:rPr>
          <w:rFonts w:ascii="Calibri" w:cs="Calibri" w:eastAsia="Calibri" w:hAnsi="Calibri"/>
          <w:b/>
          <w:bCs/>
          <w:sz w:val="26"/>
          <w:szCs w:val="26"/>
        </w:rPr>
        <w:t xml:space="preserve">Essay Three</w:t>
      </w:r>
    </w:p>
    <w:p>
      <w:pPr>
        <w:pStyle w:val="Heading1"/>
        <w:spacing w:after="240" w:before="0"/>
      </w:pPr>
      <w:r>
        <w:rPr>
          <w:rFonts w:ascii="Calibri" w:cs="Calibri" w:eastAsia="Calibri" w:hAnsi="Calibri"/>
          <w:b/>
          <w:bCs/>
          <w:sz w:val="40"/>
          <w:szCs w:val="40"/>
        </w:rPr>
        <w:t xml:space="preserve">The Anxiety Machine</w:t>
      </w:r>
    </w:p>
    <w:p>
      <w:pPr>
        <w:pStyle w:val="Heading2"/>
        <w:spacing w:after="200" w:before="480"/>
      </w:pPr>
      <w:r>
        <w:rPr>
          <w:rFonts w:ascii="Calibri" w:cs="Calibri" w:eastAsia="Calibri" w:hAnsi="Calibri"/>
          <w:b/>
          <w:bCs/>
          <w:sz w:val="28"/>
          <w:szCs w:val="28"/>
        </w:rPr>
        <w:t xml:space="preserve">Domestic Stress and the China Threat Narrative</w:t>
      </w:r>
    </w:p>
    <w:p>
      <w:pPr>
        <w:spacing w:after="120" w:before="60"/>
      </w:pPr>
      <w:r>
        <w:rPr>
          <w:rFonts w:ascii="Calibri" w:cs="Calibri" w:eastAsia="Calibri" w:hAnsi="Calibri"/>
          <w:b/>
          <w:bCs/>
          <w:sz w:val="22"/>
          <w:szCs w:val="22"/>
        </w:rPr>
        <w:t xml:space="preserve">By Kari Freyr McKern | Epiphenomenon@Trove Research Project | August 2026</w:t>
      </w:r>
    </w:p>
    <w:p>
      <w:pPr>
        <w:spacing w:after="240"/>
      </w:pPr>
      <w:r>
        <w:rPr>
          <w:rFonts w:ascii="Georgia" w:cs="Georgia" w:eastAsia="Georgia" w:hAnsi="Georgia"/>
          <w:sz w:val="24"/>
          <w:szCs w:val="24"/>
        </w:rPr>
        <w:t xml:space="preserve"/>
      </w:r>
    </w:p>
    <w:p>
      <w:pPr>
        <w:pStyle w:val="Heading3"/>
        <w:spacing w:after="160" w:before="320"/>
      </w:pPr>
      <w:r>
        <w:rPr>
          <w:rFonts w:ascii="Calibri" w:cs="Calibri" w:eastAsia="Calibri" w:hAnsi="Calibri"/>
          <w:b/>
          <w:bCs/>
          <w:sz w:val="24"/>
          <w:szCs w:val="24"/>
        </w:rPr>
        <w:t xml:space="preserve">The Proposition</w:t>
      </w:r>
    </w:p>
    <w:p>
      <w:pPr>
        <w:spacing w:after="180" w:line="280"/>
      </w:pPr>
      <w:r>
        <w:rPr>
          <w:rFonts w:ascii="Georgia" w:cs="Georgia" w:eastAsia="Georgia" w:hAnsi="Georgia"/>
          <w:sz w:val="24"/>
          <w:szCs w:val="24"/>
        </w:rPr>
        <w:t xml:space="preserve">There is a pattern running through 125 years of Australian political life that the event-response model of foreign policy cannot explain. It is simple enough to state: Parliament fills with China-threat language not when China does threatening things, but when Australian workers are being squeezed. The discourse tracks domestic stress, not external behaviour. This is not a metaphor, a conjecture, or an ideological position. It is a measurement.</w:t>
      </w:r>
    </w:p>
    <w:p>
      <w:pPr>
        <w:spacing w:after="180" w:line="280"/>
      </w:pPr>
      <w:r>
        <w:rPr>
          <w:rFonts w:ascii="Georgia" w:cs="Georgia" w:eastAsia="Georgia" w:hAnsi="Georgia"/>
          <w:sz w:val="24"/>
          <w:szCs w:val="24"/>
        </w:rPr>
        <w:t xml:space="preserve">The measurement comes from my 105-year quantitative study combining computational text analysis of the National Library of Australia's digitised Trove newspaper corpus (1900–2025), Hansard parliamentary records (2006–2025), and annual CAMS (Complex Adaptive Model System) institutional health scores for both Australia and China. The full project is documented at neuralnations.org/epiphenomenon. What it finds is structurally so regular — so resistant to the particular actors, vocabularies, and crises that fill each era — that it begins to acquire the character of a physical law rather than a historical observation. The threat discourse is not produced by the threatening behaviour of the named threat. It is produced by the institutional conditions of the society doing the naming.</w:t>
      </w:r>
    </w:p>
    <w:p>
      <w:pPr>
        <w:pStyle w:val="Heading3"/>
        <w:spacing w:after="160" w:before="320"/>
      </w:pPr>
      <w:r>
        <w:rPr>
          <w:rFonts w:ascii="Calibri" w:cs="Calibri" w:eastAsia="Calibri" w:hAnsi="Calibri"/>
          <w:b/>
          <w:bCs/>
          <w:sz w:val="24"/>
          <w:szCs w:val="24"/>
        </w:rPr>
        <w:t xml:space="preserve">The Crowding-Out Mechanism</w:t>
      </w:r>
    </w:p>
    <w:p>
      <w:pPr>
        <w:spacing w:after="180" w:line="280"/>
      </w:pPr>
      <w:r>
        <w:rPr>
          <w:rFonts w:ascii="Georgia" w:cs="Georgia" w:eastAsia="Georgia" w:hAnsi="Georgia"/>
          <w:sz w:val="24"/>
          <w:szCs w:val="24"/>
        </w:rPr>
        <w:t xml:space="preserve">To understand why Parliament fills with China-threat language when working people are squeezed, it is first necessary to understand a prior condition: why it stops doing so when the squeeze becomes genuinely catastrophic.</w:t>
      </w:r>
    </w:p>
    <w:p>
      <w:pPr>
        <w:spacing w:after="180" w:line="280"/>
      </w:pPr>
      <w:r>
        <w:rPr>
          <w:rFonts w:ascii="Georgia" w:cs="Georgia" w:eastAsia="Georgia" w:hAnsi="Georgia"/>
          <w:sz w:val="24"/>
          <w:szCs w:val="24"/>
        </w:rPr>
        <w:t xml:space="preserve">My CAMS Managed Threat Ecology model identifies two discourse registers that compete for the same political and emotional bandwidth in any society: class discourse (wages, strikes, unemployment, housing, the cost of living) and foreign-threat discourse (the external enemy who explains and justifies national anxiety). These two registers are not additive. They are rivals. When one floods the available space, the other contracts.</w:t>
      </w:r>
    </w:p>
    <w:p>
      <w:pPr>
        <w:spacing w:after="180" w:line="280"/>
      </w:pPr>
      <w:r>
        <w:rPr>
          <w:rFonts w:ascii="Georgia" w:cs="Georgia" w:eastAsia="Georgia" w:hAnsi="Georgia"/>
          <w:sz w:val="24"/>
          <w:szCs w:val="24"/>
        </w:rPr>
        <w:t xml:space="preserve">The Depression years demonstrate this at maximum intensity. As Australian institutional health collapsed through the 1930s — mass unemployment, wage cuts, bread queues, evictions — the Yellow Peril virtually disappeared from the press. Class language surged to its all-time corpus peak: strikes, relief work, the survival struggles of ordinary people against capital. The correlation between class discourse and Australian institutional health across fifty-five years runs at r = −0.700 (p &lt; 0.001) — the strongest single correlation in the entire Trove analysis. The inverse relationship is foundational: strong institutions suppress class discourse; weak institutions amplify it. And crucially, when class discourse surges under genuine crisis, foreign-threat discourse retreats. You cannot manufacture an existential enemy abroad when the existential enemy is the empty larder at home.</w:t>
      </w:r>
    </w:p>
    <w:p>
      <w:pPr>
        <w:spacing w:after="180" w:line="280"/>
      </w:pPr>
      <w:r>
        <w:rPr>
          <w:rFonts w:ascii="Georgia" w:cs="Georgia" w:eastAsia="Georgia" w:hAnsi="Georgia"/>
          <w:sz w:val="24"/>
          <w:szCs w:val="24"/>
        </w:rPr>
        <w:t xml:space="preserve">This crowding-out mechanism is the positive control — the methodological ground truth against which everything else in my analysis is calibrated. It confirms that the two registers are not independent productions: they share a common supply of political oxygen. The question the essay addresses is what happens when the machinery of threat management becomes sophisticated enough to suppress the crowding-out mechanism itself.</w:t>
      </w:r>
    </w:p>
    <w:p>
      <w:pPr>
        <w:pStyle w:val="Heading3"/>
        <w:spacing w:after="160" w:before="320"/>
      </w:pPr>
      <w:r>
        <w:rPr>
          <w:rFonts w:ascii="Calibri" w:cs="Calibri" w:eastAsia="Calibri" w:hAnsi="Calibri"/>
          <w:b/>
          <w:bCs/>
          <w:sz w:val="24"/>
          <w:szCs w:val="24"/>
        </w:rPr>
        <w:t xml:space="preserve">The Class-Threat Tension in Historical Register</w:t>
      </w:r>
    </w:p>
    <w:p>
      <w:pPr>
        <w:spacing w:after="180" w:line="280"/>
      </w:pPr>
      <w:r>
        <w:rPr>
          <w:rFonts w:ascii="Georgia" w:cs="Georgia" w:eastAsia="Georgia" w:hAnsi="Georgia"/>
          <w:sz w:val="24"/>
          <w:szCs w:val="24"/>
        </w:rPr>
        <w:t xml:space="preserve">The pattern long precedes data. The Yellow Peril fever that produced the White Australia Policy in 1901 emerged at Federation — Australia at its most institutionally coherent, not its most stressed. In the Trove data this shows as yellow_peril discourse correlating positively with institutional health at r = +0.272 across the 55-year series: a prosperous, coherent society performing its own boundaries from a position of strength. Threat language, in this foundational regime, is a luxury of coherence, not a symptom of fear.</w:t>
      </w:r>
    </w:p>
    <w:p>
      <w:pPr>
        <w:spacing w:after="180" w:line="280"/>
      </w:pPr>
      <w:r>
        <w:rPr>
          <w:rFonts w:ascii="Georgia" w:cs="Georgia" w:eastAsia="Georgia" w:hAnsi="Georgia"/>
          <w:sz w:val="24"/>
          <w:szCs w:val="24"/>
        </w:rPr>
        <w:t xml:space="preserve">The Depression inverts this. My CAMS Regime 2 (1914–1939) shows institutional health at its lowest mean value of any of the three identified regimes, yellow_peril at its lowest mean (111.5 articles per million, collapsed from the 329.9 ppm of the Federation period), and class_disc at its highest mean. When institutional conditions are genuinely severe — when the Hands node that represents labour and working-class welfare is under maximum stress — class discourse crowds out the foreign-threat register.</w:t>
      </w:r>
    </w:p>
    <w:p>
      <w:pPr>
        <w:spacing w:after="180" w:line="280"/>
      </w:pPr>
      <w:r>
        <w:rPr>
          <w:rFonts w:ascii="Georgia" w:cs="Georgia" w:eastAsia="Georgia" w:hAnsi="Georgia"/>
          <w:sz w:val="24"/>
          <w:szCs w:val="24"/>
        </w:rPr>
        <w:t xml:space="preserve">Robert Menzies understood this with the cold precision of a barrister. The secret of Cold War political management was not to generate genuine class crisis but to maintain a manageable level of working-class pressure — enough to produce anxiety without producing the full crowding-out that would suppress the communist threat narrative. His use of the Red Scare as "electoral gold," his 1950 legislation to ban the Communist Party, his 1951 referendum — these were not responses to actual communist subversion. They were instruments for keeping the class-threat tension at the productive ratio: enough worker anxiety to be politically salient, not so much as to overwhelm the narrative of external menace. Menzies' genius was calibration.</w:t>
      </w:r>
    </w:p>
    <w:p>
      <w:pPr>
        <w:pStyle w:val="Heading3"/>
        <w:spacing w:after="160" w:before="320"/>
      </w:pPr>
      <w:r>
        <w:rPr>
          <w:rFonts w:ascii="Calibri" w:cs="Calibri" w:eastAsia="Calibri" w:hAnsi="Calibri"/>
          <w:b/>
          <w:bCs/>
          <w:sz w:val="24"/>
          <w:szCs w:val="24"/>
        </w:rPr>
        <w:t xml:space="preserve">The Shield Hypertrophy Mechanism</w:t>
      </w:r>
    </w:p>
    <w:p>
      <w:pPr>
        <w:spacing w:after="180" w:line="280"/>
      </w:pPr>
      <w:r>
        <w:rPr>
          <w:rFonts w:ascii="Georgia" w:cs="Georgia" w:eastAsia="Georgia" w:hAnsi="Georgia"/>
          <w:sz w:val="24"/>
          <w:szCs w:val="24"/>
        </w:rPr>
        <w:t xml:space="preserve">The contemporary period introduces a structural shift that Menzies could only have dreamed of. My CAMS analysis of Australian institutions in the post-2006 period identifies what I call the Shield Hypertrophy Index (SHI): Shield Node Value minus the mean of Lore (knowledge institutions) and Flow (trade and exchange) Node Values. The SHI is the quantitative signature of a society in which security logic is crowding out knowledge and exchange — in which the institutions that could generate critical scrutiny of threat narratives are being progressively weakened relative to the institutions that produce and sustain them.</w:t>
      </w:r>
    </w:p>
    <w:p>
      <w:pPr>
        <w:spacing w:after="180" w:line="280"/>
      </w:pPr>
      <w:r>
        <w:rPr>
          <w:rFonts w:ascii="Georgia" w:cs="Georgia" w:eastAsia="Georgia" w:hAnsi="Georgia"/>
          <w:sz w:val="24"/>
          <w:szCs w:val="24"/>
        </w:rPr>
        <w:t xml:space="preserve">From approximately 2010–2012, a distinctive pattern emerges in Australia's CAMS scores. The Shield Node Value holds steady. Lore declines. Flow declines. The SHI rises. By 2017, the institutional imbalance is at its widest point in the post-2006 record. And the lagged correlation between SHI[t] and sino_ppm (Hansard)[t+1] is r = +0.697 (p = 0.0009, n = 18). Australian institutional imbalance in year t predicts Australian parliamentary China-threat discourse in year t+1. This is my primary empirical finding.</w:t>
      </w:r>
    </w:p>
    <w:p>
      <w:pPr>
        <w:spacing w:after="180" w:line="280"/>
      </w:pPr>
      <w:r>
        <w:rPr>
          <w:rFonts w:ascii="Georgia" w:cs="Georgia" w:eastAsia="Georgia" w:hAnsi="Georgia"/>
          <w:sz w:val="24"/>
          <w:szCs w:val="24"/>
        </w:rPr>
        <w:t xml:space="preserve">What this means in plain terms is that the mechanism driving China-threat language in Parliament is not China. It is the widening gap between what the security apparatus produces and what the knowledge and exchange institutions can push back against. When Lore shrinks — when universities are defunded, public broadcasting is gutted, independent think tanks are replaced by security-funded ones, the research commons is diminished — the epistemic capacity to challenge threat narratives contracts. When Flow is stressed — when the trading relationship with China generates anxiety rather than confidence — the emotional condition that makes threat narratives credible is amplified.</w:t>
      </w:r>
    </w:p>
    <w:p>
      <w:pPr>
        <w:pStyle w:val="Heading3"/>
        <w:spacing w:after="160" w:before="320"/>
      </w:pPr>
      <w:r>
        <w:rPr>
          <w:rFonts w:ascii="Calibri" w:cs="Calibri" w:eastAsia="Calibri" w:hAnsi="Calibri"/>
          <w:b/>
          <w:bCs/>
          <w:sz w:val="24"/>
          <w:szCs w:val="24"/>
        </w:rPr>
        <w:t xml:space="preserve">The Bilateral Symmetry Finding</w:t>
      </w:r>
    </w:p>
    <w:p>
      <w:pPr>
        <w:spacing w:after="180" w:line="280"/>
      </w:pPr>
      <w:r>
        <w:rPr>
          <w:rFonts w:ascii="Georgia" w:cs="Georgia" w:eastAsia="Georgia" w:hAnsi="Georgia"/>
          <w:sz w:val="24"/>
          <w:szCs w:val="24"/>
        </w:rPr>
        <w:t xml:space="preserve">The most striking single result in the entire 105-year dataset is what I term the bilateral symmetry finding.</w:t>
      </w:r>
    </w:p>
    <w:p>
      <w:pPr>
        <w:spacing w:after="180" w:line="280"/>
      </w:pPr>
      <w:r>
        <w:rPr>
          <w:rFonts w:ascii="Georgia" w:cs="Georgia" w:eastAsia="Georgia" w:hAnsi="Georgia"/>
          <w:sz w:val="24"/>
          <w:szCs w:val="24"/>
        </w:rPr>
        <w:t xml:space="preserve">Across the Trove press record from 1900 to 1990, the Pearson correlation between Chinese institutional health (CAMS5 ensemble mean Node Value) and Australian Sino-discourse is r ≈ 0.10 — statistical noise. The discourse is indifferent to whether China is institutionally strong or weak, stable or chaotic, threatening or not. During this period, the ecology is reactive: events can trigger spikes, but without sustaining infrastructure they dissipate. Whitlam's 1972 recognition of the PRC immediately suppressed Sino-discourse. The 1991 Soviet collapse dropped russo_ppm within twelve months.</w:t>
      </w:r>
    </w:p>
    <w:p>
      <w:pPr>
        <w:spacing w:after="180" w:line="280"/>
      </w:pPr>
      <w:r>
        <w:rPr>
          <w:rFonts w:ascii="Georgia" w:cs="Georgia" w:eastAsia="Georgia" w:hAnsi="Georgia"/>
          <w:sz w:val="24"/>
          <w:szCs w:val="24"/>
        </w:rPr>
        <w:t xml:space="preserve">After 2006 the correlation does not merely appear from the noise. It flips sign. The correlation between Chinese mean Node Value and Australian parliamentary Sino-discourse across 2006–2025 is r = −0.562 (p = 0.010, n = 20). Negative. When China's institutions are functioning well — when its governance is coherent, its economy productive, its social systems stable — Australian parliamentary China-threat language is higher, not lower. A discourse that is negatively correlated with the actual institutional state of the nominated threat object is not measuring China. It is measuring Australia. More precisely: it is measuring the anxiety machine that Australia has constructed to process its own domestic stress through the grammar of an external enemy. The better China does, the more the machine needs to work to maintain the narrative.</w:t>
      </w:r>
    </w:p>
    <w:p>
      <w:pPr>
        <w:pStyle w:val="Heading3"/>
        <w:spacing w:after="160" w:before="320"/>
      </w:pPr>
      <w:r>
        <w:rPr>
          <w:rFonts w:ascii="Calibri" w:cs="Calibri" w:eastAsia="Calibri" w:hAnsi="Calibri"/>
          <w:b/>
          <w:bCs/>
          <w:sz w:val="24"/>
          <w:szCs w:val="24"/>
        </w:rPr>
        <w:t xml:space="preserve">2020: The Crowding-Out Mechanism Disabled</w:t>
      </w:r>
    </w:p>
    <w:p>
      <w:pPr>
        <w:spacing w:after="180" w:line="280"/>
      </w:pPr>
      <w:r>
        <w:rPr>
          <w:rFonts w:ascii="Georgia" w:cs="Georgia" w:eastAsia="Georgia" w:hAnsi="Georgia"/>
          <w:sz w:val="24"/>
          <w:szCs w:val="24"/>
        </w:rPr>
        <w:t xml:space="preserve">The 2020 data point is the critical test of whether the structural transition is complete. In historical conditions — the Depression, the post-Soviet détente — genuine domestic crisis triggered crowding-out: the class register flooded in and the foreign-threat register retreated. In 2020, Australia experienced a genuine simultaneous domestic and international crisis. The pandemic drove institutional stress across every node. Chinese institutional health fell sharply (mean Node Value from 13.88 in 2018 to 9.81 in 2020). Both societies were stressed. The historical model predicts crowding-out: class discourse should surge, foreign-threat discourse should contract.</w:t>
      </w:r>
    </w:p>
    <w:p>
      <w:pPr>
        <w:spacing w:after="180" w:line="280"/>
      </w:pPr>
      <w:r>
        <w:rPr>
          <w:rFonts w:ascii="Georgia" w:cs="Georgia" w:eastAsia="Georgia" w:hAnsi="Georgia"/>
          <w:sz w:val="24"/>
          <w:szCs w:val="24"/>
        </w:rPr>
        <w:t xml:space="preserve">Instead, Sino-threat discourse in Hansard surged. The crowding-out mechanism had been disabled. The strategic infrastructure assembled between 2014 and 2020 — the Foreign Influence Transparency Scheme, the Huawei ban, the ASPI apparatus, the Foreign Interference laws, the Five Eyes China-specific frameworks — had made the ecology structural enough to override the historical mechanism. The Anxiety Machine no longer required favourable conditions to produce output. It had become self-sustaining.</w:t>
      </w:r>
    </w:p>
    <w:p>
      <w:pPr>
        <w:pStyle w:val="Heading3"/>
        <w:spacing w:after="160" w:before="320"/>
      </w:pPr>
      <w:r>
        <w:rPr>
          <w:rFonts w:ascii="Calibri" w:cs="Calibri" w:eastAsia="Calibri" w:hAnsi="Calibri"/>
          <w:b/>
          <w:bCs/>
          <w:sz w:val="24"/>
          <w:szCs w:val="24"/>
        </w:rPr>
        <w:t xml:space="preserve">Three Eras, One Grammar</w:t>
      </w:r>
    </w:p>
    <w:p>
      <w:pPr>
        <w:spacing w:after="180" w:line="280"/>
      </w:pPr>
      <w:r>
        <w:rPr>
          <w:rFonts w:ascii="Georgia" w:cs="Georgia" w:eastAsia="Georgia" w:hAnsi="Georgia"/>
          <w:sz w:val="24"/>
          <w:szCs w:val="24"/>
        </w:rPr>
        <w:t xml:space="preserve">The 105-year arc of this research resolves into three phases of threat ecology, each showing the class-threat tension in a different configuration.</w:t>
      </w:r>
    </w:p>
    <w:p>
      <w:pPr>
        <w:spacing w:after="180" w:line="280"/>
      </w:pPr>
      <w:r>
        <w:rPr>
          <w:rFonts w:ascii="Georgia" w:cs="Georgia" w:eastAsia="Georgia" w:hAnsi="Georgia"/>
          <w:sz w:val="24"/>
          <w:szCs w:val="24"/>
        </w:rPr>
        <w:t xml:space="preserve">The Reactive-Prosperity phase (1900–1913; 1955–1970) operates from a position of institutional coherence. Threat discourse here is not anxiety. It is boundary performance — a confident society organising its self-definition through racial or ideological exclusion. Hands stress is low, Lore is high, the SHI is moderate. The political class produces threat discourse from strength, as identity rather than as displacement.</w:t>
      </w:r>
    </w:p>
    <w:p>
      <w:pPr>
        <w:spacing w:after="180" w:line="280"/>
      </w:pPr>
      <w:r>
        <w:rPr>
          <w:rFonts w:ascii="Georgia" w:cs="Georgia" w:eastAsia="Georgia" w:hAnsi="Georgia"/>
          <w:sz w:val="24"/>
          <w:szCs w:val="24"/>
        </w:rPr>
        <w:t xml:space="preserve">The Reactive-Crisis phase (1929–1939; 1991–2006) is the crowding-out condition. Hands stress is severe, Lore is present but insufficient to redirect the energy productively, and the displacement infrastructure either does not yet exist or has been dismantled. Class discourse dominates. Foreign-threat discourse contracts. The Depression, paradoxically, was the era of least Sinophobia in the 125-year record.</w:t>
      </w:r>
    </w:p>
    <w:p>
      <w:pPr>
        <w:spacing w:after="180" w:line="280"/>
      </w:pPr>
      <w:r>
        <w:rPr>
          <w:rFonts w:ascii="Georgia" w:cs="Georgia" w:eastAsia="Georgia" w:hAnsi="Georgia"/>
          <w:sz w:val="24"/>
          <w:szCs w:val="24"/>
        </w:rPr>
        <w:t xml:space="preserve">The Structural-Infrastructure phase (2006–present) is the Anxiety Machine at full operation. Hands stress is real — wage stagnation, housing unaffordability, energy costs, casualised labour — but not yet at Depression severity. Lore is declining. Shield is dominant. The infrastructure for displacement was assembled and is now self-sustaining. The crowding-out mechanism has been disabled. Parliamentary Sino-discourse tracks Shield Hypertrophy, not Chinese behaviour. And when genuine crisis arrived in 2020, the machine overrode the historical crowding-out reflex.</w:t>
      </w:r>
    </w:p>
    <w:p>
      <w:pPr>
        <w:pStyle w:val="Heading3"/>
        <w:spacing w:after="160" w:before="320"/>
      </w:pPr>
      <w:r>
        <w:rPr>
          <w:rFonts w:ascii="Calibri" w:cs="Calibri" w:eastAsia="Calibri" w:hAnsi="Calibri"/>
          <w:b/>
          <w:bCs/>
          <w:sz w:val="24"/>
          <w:szCs w:val="24"/>
        </w:rPr>
        <w:t xml:space="preserve">The Number That Should Give Us Pause</w:t>
      </w:r>
    </w:p>
    <w:p>
      <w:pPr>
        <w:spacing w:after="180" w:line="280"/>
      </w:pPr>
      <w:r>
        <w:rPr>
          <w:rFonts w:ascii="Georgia" w:cs="Georgia" w:eastAsia="Georgia" w:hAnsi="Georgia"/>
          <w:sz w:val="24"/>
          <w:szCs w:val="24"/>
        </w:rPr>
        <w:t xml:space="preserve">The essay began with measurement. It should end with it.</w:t>
      </w:r>
    </w:p>
    <w:p>
      <w:pPr>
        <w:spacing w:after="180" w:line="280"/>
      </w:pPr>
      <w:r>
        <w:rPr>
          <w:rFonts w:ascii="Georgia" w:cs="Georgia" w:eastAsia="Georgia" w:hAnsi="Georgia"/>
          <w:sz w:val="24"/>
          <w:szCs w:val="24"/>
        </w:rPr>
        <w:t xml:space="preserve">The Shield Hypertrophy Index for the United States in 2025–2026, the primary patron within whose managed threat ecology Australia operates, stands at 7.75 — more than double the previous worst period in the 126-year CAMS series, the Vietnam War at 3.75. US Helm stands at 0.4 (all-time series minimum). US Lore stands at 0.6 (all-time series minimum). Shield holds at 10.7.</w:t>
      </w:r>
    </w:p>
    <w:p>
      <w:pPr>
        <w:spacing w:after="180" w:line="280"/>
      </w:pPr>
      <w:r>
        <w:rPr>
          <w:rFonts w:ascii="Georgia" w:cs="Georgia" w:eastAsia="Georgia" w:hAnsi="Georgia"/>
          <w:sz w:val="24"/>
          <w:szCs w:val="24"/>
        </w:rPr>
        <w:t xml:space="preserve">A system with Helm at 0.4 and Lore at 0.6 but Shield at 10.7 cannot course-correct even if the impulse existed. The Australian Anxiety Machine does not operate in isolation. It is a subordinate node within a larger ecology whose own epistemic substrate — the Lore that carries the capacity to recognise and correct a trajectory — has been consumed alongside its governance capacity.</w:t>
      </w:r>
    </w:p>
    <w:p>
      <w:pPr>
        <w:spacing w:after="180" w:line="280"/>
      </w:pPr>
      <w:r>
        <w:rPr>
          <w:rFonts w:ascii="Georgia" w:cs="Georgia" w:eastAsia="Georgia" w:hAnsi="Georgia"/>
          <w:sz w:val="24"/>
          <w:szCs w:val="24"/>
        </w:rPr>
        <w:t xml:space="preserve">When working people are squeezed in this larger ecology — and across the Anglosphere, the Hands-node evidence of the last decade is unambiguous — the Anxiety Machine does not generate one nation's worth of displacement. It generates a coordinated, infrastructure-sustained, epistemically impoverished threat environment in which the answer — across 125 years of counting — is no. The cause of the squeeze is structural. The enemy is the product of the institution that produces the answer. And the institution that might tell us otherwise has a Lore score of 0.6.</w:t>
      </w:r>
    </w:p>
    <w:p>
      <w:pPr>
        <w:spacing w:after="120"/>
      </w:pPr>
      <w:r>
        <w:rPr>
          <w:rFonts w:ascii="Georgia" w:cs="Georgia" w:eastAsia="Georgia" w:hAnsi="Georgia"/>
          <w:i/>
          <w:iCs/>
          <w:sz w:val="20"/>
          <w:szCs w:val="20"/>
        </w:rPr>
        <w:t xml:space="preserve">Kari Freyr McKern is an independent researcher and systems analyst based in Ashfield, New South Wales. This essay is the third in The Borrowed Nation series. The full Epiphenomenon@Trove project, including interactive data explorer, is at neuralnations.org/epiphenomenon. ORCID: 0009-0007-9045-0505.</w:t>
      </w:r>
    </w:p>
    <w:p>
      <w:r>
        <w:br w:type="page"/>
      </w:r>
    </w:p>
    <w:p>
      <w:pPr>
        <w:spacing w:after="120"/>
        <w:jc w:val="center"/>
      </w:pPr>
      <w:r>
        <w:rPr>
          <w:rFonts w:ascii="Calibri" w:cs="Calibri" w:eastAsia="Calibri" w:hAnsi="Calibri"/>
          <w:b/>
          <w:bCs/>
          <w:sz w:val="26"/>
          <w:szCs w:val="26"/>
        </w:rPr>
        <w:t xml:space="preserve">Essay Four</w:t>
      </w:r>
    </w:p>
    <w:p>
      <w:pPr>
        <w:pStyle w:val="Heading1"/>
        <w:spacing w:after="240" w:before="0"/>
      </w:pPr>
      <w:r>
        <w:rPr>
          <w:rFonts w:ascii="Calibri" w:cs="Calibri" w:eastAsia="Calibri" w:hAnsi="Calibri"/>
          <w:b/>
          <w:bCs/>
          <w:sz w:val="40"/>
          <w:szCs w:val="40"/>
        </w:rPr>
        <w:t xml:space="preserve">The Flow Paradox</w:t>
      </w:r>
    </w:p>
    <w:p>
      <w:pPr>
        <w:pStyle w:val="Heading2"/>
        <w:spacing w:after="200" w:before="480"/>
      </w:pPr>
      <w:r>
        <w:rPr>
          <w:rFonts w:ascii="Calibri" w:cs="Calibri" w:eastAsia="Calibri" w:hAnsi="Calibri"/>
          <w:b/>
          <w:bCs/>
          <w:sz w:val="28"/>
          <w:szCs w:val="28"/>
        </w:rPr>
        <w:t xml:space="preserve">Australia Sells to the World it Claims to Fear</w:t>
      </w:r>
    </w:p>
    <w:p>
      <w:pPr>
        <w:spacing w:after="120" w:before="60"/>
      </w:pPr>
      <w:r>
        <w:rPr>
          <w:rFonts w:ascii="Calibri" w:cs="Calibri" w:eastAsia="Calibri" w:hAnsi="Calibri"/>
          <w:b/>
          <w:bCs/>
          <w:sz w:val="22"/>
          <w:szCs w:val="22"/>
        </w:rPr>
        <w:t xml:space="preserve">By Kari Freyr McKern | Epiphenomenon@Trove Research Project | August 2026</w:t>
      </w:r>
    </w:p>
    <w:p>
      <w:pPr>
        <w:spacing w:after="240"/>
      </w:pPr>
      <w:r>
        <w:rPr>
          <w:rFonts w:ascii="Georgia" w:cs="Georgia" w:eastAsia="Georgia" w:hAnsi="Georgia"/>
          <w:sz w:val="24"/>
          <w:szCs w:val="24"/>
        </w:rPr>
        <w:t xml:space="preserve"/>
      </w:r>
    </w:p>
    <w:p>
      <w:pPr>
        <w:pStyle w:val="Heading3"/>
        <w:spacing w:after="160" w:before="320"/>
      </w:pPr>
      <w:r>
        <w:rPr>
          <w:rFonts w:ascii="Calibri" w:cs="Calibri" w:eastAsia="Calibri" w:hAnsi="Calibri"/>
          <w:b/>
          <w:bCs/>
          <w:sz w:val="24"/>
          <w:szCs w:val="24"/>
        </w:rPr>
        <w:t xml:space="preserve">The Contradiction in Plain Sight</w:t>
      </w:r>
    </w:p>
    <w:p>
      <w:pPr>
        <w:spacing w:after="180" w:line="280"/>
      </w:pPr>
      <w:r>
        <w:rPr>
          <w:rFonts w:ascii="Georgia" w:cs="Georgia" w:eastAsia="Georgia" w:hAnsi="Georgia"/>
          <w:sz w:val="24"/>
          <w:szCs w:val="24"/>
        </w:rPr>
        <w:t xml:space="preserve">There is a contradiction at the heart of Australian public life that is so large and so plainly visible that commentary has largely stopped seeing it. Australia's most important trading partner — the destination for roughly a third of all its exports, the buyer of its iron ore, coal, gas, education, wool, beef, wheat, barley, lobster, and wine — is the same entity its Parliament designates, with increasing institutional formality and coordination, as its primary strategic threat. It sells, in enormous quantities, to the world it claims to fear. It funds, through that selling, much of the economic prosperity that sustains its standard of living. And it describes the buyer of that prosperity as an existential danger to the values on which that standard of living is said to rest.</w:t>
      </w:r>
    </w:p>
    <w:p>
      <w:pPr>
        <w:spacing w:after="180" w:line="280"/>
      </w:pPr>
      <w:r>
        <w:rPr>
          <w:rFonts w:ascii="Georgia" w:cs="Georgia" w:eastAsia="Georgia" w:hAnsi="Georgia"/>
          <w:sz w:val="24"/>
          <w:szCs w:val="24"/>
        </w:rPr>
        <w:t xml:space="preserve">This is the Flow Paradox. It is not a paradox in the logical sense — contradictions of interest and identity are common in political life. The paradox is structural, and my CAMS framework renders it measurable: Australia's Flow node — the node governing trade, exchange, material circulation, and the myths of economic partnership on which those flows depend — is under simultaneous pressure from two directions that cannot both be satisfied. The security apparatus pulls toward decoupling. The material economy pulls toward integration. The political class, operating at the Helm, has found a temporary and politically productive resolution: it maintains the trade while amplifying the threat, leaving the structural contradiction unaddressed and the Flow node in a condition of managed stress that, the data suggests, cannot be sustained indefinitely.</w:t>
      </w:r>
    </w:p>
    <w:p>
      <w:pPr>
        <w:pStyle w:val="Heading3"/>
        <w:spacing w:after="160" w:before="320"/>
      </w:pPr>
      <w:r>
        <w:rPr>
          <w:rFonts w:ascii="Calibri" w:cs="Calibri" w:eastAsia="Calibri" w:hAnsi="Calibri"/>
          <w:b/>
          <w:bCs/>
          <w:sz w:val="24"/>
          <w:szCs w:val="24"/>
        </w:rPr>
        <w:t xml:space="preserve">What the Flow Node Actually Measures</w:t>
      </w:r>
    </w:p>
    <w:p>
      <w:pPr>
        <w:spacing w:after="180" w:line="280"/>
      </w:pPr>
      <w:r>
        <w:rPr>
          <w:rFonts w:ascii="Georgia" w:cs="Georgia" w:eastAsia="Georgia" w:hAnsi="Georgia"/>
          <w:sz w:val="24"/>
          <w:szCs w:val="24"/>
        </w:rPr>
        <w:t xml:space="preserve">The Flow node in my CAMS framework is not simply a measure of trade volume. In the CAMS theoretical architecture, the Flow node governs the entire apparatus of material and normative exchange within and across a society's boundary: goods, energy, money, credit, the contracts that make exchange reliable, the institutional frameworks that enforce those contracts, and — crucially — the myths of exchange on which all of this depends.</w:t>
      </w:r>
    </w:p>
    <w:p>
      <w:pPr>
        <w:spacing w:after="180" w:line="280"/>
      </w:pPr>
      <w:r>
        <w:rPr>
          <w:rFonts w:ascii="Georgia" w:cs="Georgia" w:eastAsia="Georgia" w:hAnsi="Georgia"/>
          <w:sz w:val="24"/>
          <w:szCs w:val="24"/>
        </w:rPr>
        <w:t xml:space="preserve">This last dimension is what distinguishes the CAMS treatment from standard trade economics. Currency works because people believe it will work. Contracts are honoured not only because enforcement is available but because parties have internalised a norm of contractual obligation. Trade partnerships endure not only because the price is right but because both parties have invested in a shared understanding — a narrative about the relationship — that makes the investment of entering contracts worthwhile. When that narrative is degraded, the material surface of exchange can continue for a while, drawing down the accumulated store of institutional trust, but it degrades mythically before it fails materially.</w:t>
      </w:r>
    </w:p>
    <w:p>
      <w:pPr>
        <w:spacing w:after="180" w:line="280"/>
      </w:pPr>
      <w:r>
        <w:rPr>
          <w:rFonts w:ascii="Georgia" w:cs="Georgia" w:eastAsia="Georgia" w:hAnsi="Georgia"/>
          <w:sz w:val="24"/>
          <w:szCs w:val="24"/>
        </w:rPr>
        <w:t xml:space="preserve">This is the precise condition of the Australia-China trade relationship since approximately 2018. The material flows continued. Iron ore continued to pour through Port Hedland. LNG continued to leave the North West Shelf. But the normative and narrative substrate of the relationship — the shared understanding that Australia and China were genuine partners with a durable stake in each other's prosperity — was being systematically dismantled by the political and security apparatus on the Australian side. The Huawei ban, the Foreign Interference laws, the COVID-origins demand, the trade retaliations, the AUKUS announcement, the escalating parliamentary rhetoric quantified in my Hansard analysis — each of these was an act of mythic degradation. Each one withdrew a unit of the normative capital on which the trade relationship depended, while the material trade continued.</w:t>
      </w:r>
    </w:p>
    <w:p>
      <w:pPr>
        <w:spacing w:after="180" w:line="280"/>
      </w:pPr>
      <w:r>
        <w:rPr>
          <w:rFonts w:ascii="Georgia" w:cs="Georgia" w:eastAsia="Georgia" w:hAnsi="Georgia"/>
          <w:sz w:val="24"/>
          <w:szCs w:val="24"/>
        </w:rPr>
        <w:t xml:space="preserve">The Flow Stress measure in my CAMS scoring captures this dynamic precisely. The largest single-dimension shift in Australia's CAMS scores across the post-2017 period was Flow Stress, which increased by 1.65 points between the pre-2017 and post-2017 periods. This is not a measure of trade volume declining — it is a measure of the pressure on Australia's trade and diplomatic institutions, the rising cost of maintaining material exchange against a backdrop of narrative hostility. The myth and the material were pulling apart. The Mythic-Material Coupling Index — the bond strength across the normative and material layers of the social graph — was degrading in precisely the way the theory predicts it degrades before material exchange fails.</w:t>
      </w:r>
    </w:p>
    <w:p>
      <w:pPr>
        <w:pStyle w:val="Heading3"/>
        <w:spacing w:after="160" w:before="320"/>
      </w:pPr>
      <w:r>
        <w:rPr>
          <w:rFonts w:ascii="Calibri" w:cs="Calibri" w:eastAsia="Calibri" w:hAnsi="Calibri"/>
          <w:b/>
          <w:bCs/>
          <w:sz w:val="24"/>
          <w:szCs w:val="24"/>
        </w:rPr>
        <w:t xml:space="preserve">The Geography of Dependency</w:t>
      </w:r>
    </w:p>
    <w:p>
      <w:pPr>
        <w:spacing w:after="180" w:line="280"/>
      </w:pPr>
      <w:r>
        <w:rPr>
          <w:rFonts w:ascii="Georgia" w:cs="Georgia" w:eastAsia="Georgia" w:hAnsi="Georgia"/>
          <w:sz w:val="24"/>
          <w:szCs w:val="24"/>
        </w:rPr>
        <w:t xml:space="preserve">To understand the scale of what is at stake, it is necessary to hold the numbers in mind against the political rhetoric.</w:t>
      </w:r>
    </w:p>
    <w:p>
      <w:pPr>
        <w:spacing w:after="180" w:line="280"/>
      </w:pPr>
      <w:r>
        <w:rPr>
          <w:rFonts w:ascii="Georgia" w:cs="Georgia" w:eastAsia="Georgia" w:hAnsi="Georgia"/>
          <w:sz w:val="24"/>
          <w:szCs w:val="24"/>
        </w:rPr>
        <w:t xml:space="preserve">China takes approximately 32–38% of Australia's total merchandise exports. The commodities involved are not marginal or substitutable at short notice: iron ore (the lifeblood of the Pilbara, which feeds China's steel industry), coal (both thermal and metallurgical), liquefied natural gas, gold, agricultural produce in bulk quantities. These exports underpin the fiscal position of the Commonwealth and the states — particularly Western Australia, whose royalty revenues from Pilbara iron ore are a structural component of the state budget — and the income of the communities that depend on the mining and agricultural sectors.</w:t>
      </w:r>
    </w:p>
    <w:p>
      <w:pPr>
        <w:spacing w:after="180" w:line="280"/>
      </w:pPr>
      <w:r>
        <w:rPr>
          <w:rFonts w:ascii="Georgia" w:cs="Georgia" w:eastAsia="Georgia" w:hAnsi="Georgia"/>
          <w:sz w:val="24"/>
          <w:szCs w:val="24"/>
        </w:rPr>
        <w:t xml:space="preserve">Japan takes roughly 18–20% of exports. South Korea and India together account for a further 15–18%. The combined East and Southeast Asian share of Australian exports routinely exceeds 75%. The United States — the patron whose protection Australian strategic culture has organised itself around since 1942 — typically accounts for less than 5% of Australian merchandise exports. The Five Eyes and core NATO partners together sum to roughly 21% of tracked goods exports combined.</w:t>
      </w:r>
    </w:p>
    <w:p>
      <w:pPr>
        <w:spacing w:after="180" w:line="280"/>
      </w:pPr>
      <w:r>
        <w:rPr>
          <w:rFonts w:ascii="Georgia" w:cs="Georgia" w:eastAsia="Georgia" w:hAnsi="Georgia"/>
          <w:sz w:val="24"/>
          <w:szCs w:val="24"/>
        </w:rPr>
        <w:t xml:space="preserve">The maritime tonnage data strips away the services component and shows the rawest structural picture. According to ASPI's 2025 analysis of Australian port data: China alone received 63% of Australia's maritime exports by tonnage in 2023–24. China combined with the rest of East and Southeast Asia accounts for 92% by tonnage and 81% by value. North America receives just 0.4% by tonnage and 3.5% by value. Europe receives 1.7% by tonnage. ASPI's own strategists — who are hardly China doves — noted: "Those suggesting that Australia would diversify its trade in a conflict should take into account the miniscule share that is directed to Western partners in peacetime." That is the security establishment conceding the point in plain language.</w:t>
      </w:r>
    </w:p>
    <w:p>
      <w:pPr>
        <w:pStyle w:val="Heading3"/>
        <w:spacing w:after="160" w:before="320"/>
      </w:pPr>
      <w:r>
        <w:rPr>
          <w:rFonts w:ascii="Calibri" w:cs="Calibri" w:eastAsia="Calibri" w:hAnsi="Calibri"/>
          <w:b/>
          <w:bCs/>
          <w:sz w:val="24"/>
          <w:szCs w:val="24"/>
        </w:rPr>
        <w:t xml:space="preserve">The 2020 Test: Sanctions, Retaliation, and the Limits of Decoupling</w:t>
      </w:r>
    </w:p>
    <w:p>
      <w:pPr>
        <w:spacing w:after="180" w:line="280"/>
      </w:pPr>
      <w:r>
        <w:rPr>
          <w:rFonts w:ascii="Georgia" w:cs="Georgia" w:eastAsia="Georgia" w:hAnsi="Georgia"/>
          <w:sz w:val="24"/>
          <w:szCs w:val="24"/>
        </w:rPr>
        <w:t xml:space="preserve">The period from 2020 to 2023 provided the sharpest empirical test of the Flow Paradox that Australian policy has yet encountered. Following the Morrison government's coordination with Washington on a COVID-origins inquiry and a series of political decisions that Beijing interpreted as escalatory, China imposed a set of targeted trade restrictions on Australian goods that illuminated the structure of the dependency with unusual clarity.</w:t>
      </w:r>
    </w:p>
    <w:p>
      <w:pPr>
        <w:spacing w:after="180" w:line="280"/>
      </w:pPr>
      <w:r>
        <w:rPr>
          <w:rFonts w:ascii="Georgia" w:cs="Georgia" w:eastAsia="Georgia" w:hAnsi="Georgia"/>
          <w:sz w:val="24"/>
          <w:szCs w:val="24"/>
        </w:rPr>
        <w:t xml:space="preserve">Barley faced tariffs of over 80%. Wine faced tariffs of over 200%. Beef was suspended from multiple abattoirs. Timber, coal, lobster, cotton, and copper were disrupted or blocked. These were precision strikes on politically sensitive but economically manageable sectors — targeted at the agricultural and resource industries with direct rural electoral significance, rather than at iron ore, where Chinese dependency on Australian supply was too strong for a clean break. The iron ore kept flowing throughout. At the peak of diplomatic hostility — when the Australian government was publicly accusing China of economic coercion — Australia was earning record prices for iron ore precisely because Chinese steel demand surged with pandemic recovery stimulus spending.</w:t>
      </w:r>
    </w:p>
    <w:p>
      <w:pPr>
        <w:spacing w:after="180" w:line="280"/>
      </w:pPr>
      <w:r>
        <w:rPr>
          <w:rFonts w:ascii="Georgia" w:cs="Georgia" w:eastAsia="Georgia" w:hAnsi="Georgia"/>
          <w:sz w:val="24"/>
          <w:szCs w:val="24"/>
        </w:rPr>
        <w:t xml:space="preserve">The 2020 episode demonstrated three things. First, that the material dependency was so deep that a full decoupling was not available as a policy option on any reasonable timeframe. Second, that China's tolerance for economic friction was high in the sectors where it retained alternatives, but constrained by its own structural dependency where it did not. Third, that the Morrison government's strategy — escalating the threat rhetoric while maintaining the economic relationship — was viable only within a specific bandwidth: it could sustain political tension up to the point where Beijing chose to impose costs on the sectors that actually mattered.</w:t>
      </w:r>
    </w:p>
    <w:p>
      <w:pPr>
        <w:spacing w:after="180" w:line="280"/>
      </w:pPr>
      <w:r>
        <w:rPr>
          <w:rFonts w:ascii="Georgia" w:cs="Georgia" w:eastAsia="Georgia" w:hAnsi="Georgia"/>
          <w:sz w:val="24"/>
          <w:szCs w:val="24"/>
        </w:rPr>
        <w:t xml:space="preserve">In my CAMS terms, the 2020 episode produced exactly what the Flow Stress metric predicts precedes material failure: a period of mythic degradation accompanied by surface-level material continuation. The Mythic-Material Coupling Index was at its lowest recorded post-2006 value in 2021, while the dollar value of the trade relationship was near its peak.</w:t>
      </w:r>
    </w:p>
    <w:p>
      <w:pPr>
        <w:pStyle w:val="Heading3"/>
        <w:spacing w:after="160" w:before="320"/>
      </w:pPr>
      <w:r>
        <w:rPr>
          <w:rFonts w:ascii="Calibri" w:cs="Calibri" w:eastAsia="Calibri" w:hAnsi="Calibri"/>
          <w:b/>
          <w:bCs/>
          <w:sz w:val="24"/>
          <w:szCs w:val="24"/>
        </w:rPr>
        <w:t xml:space="preserve">The Node Inversion Problem</w:t>
      </w:r>
    </w:p>
    <w:p>
      <w:pPr>
        <w:spacing w:after="180" w:line="280"/>
      </w:pPr>
      <w:r>
        <w:rPr>
          <w:rFonts w:ascii="Georgia" w:cs="Georgia" w:eastAsia="Georgia" w:hAnsi="Georgia"/>
          <w:sz w:val="24"/>
          <w:szCs w:val="24"/>
        </w:rPr>
        <w:t xml:space="preserve">In a society with balanced node development, the Flow and Shield nodes exist in productive tension. Security frameworks protect the conditions under which exchange can occur; exchange generates the surplus that funds security; and the Lore node provides the analytical capacity to calibrate the relationship between the two, to distinguish genuine security threats from manufactured ones, and to ensure that security spending does not crowd out the exchange capacity that makes security affordable.</w:t>
      </w:r>
    </w:p>
    <w:p>
      <w:pPr>
        <w:spacing w:after="180" w:line="280"/>
      </w:pPr>
      <w:r>
        <w:rPr>
          <w:rFonts w:ascii="Georgia" w:cs="Georgia" w:eastAsia="Georgia" w:hAnsi="Georgia"/>
          <w:sz w:val="24"/>
          <w:szCs w:val="24"/>
        </w:rPr>
        <w:t xml:space="preserve">In Australia's post-2014 trajectory, the balance has inverted. Shield has been institutionally expanded and discursively amplified. Flow has been placed under stress by the policy choices required to maintain and deepen the Five Eyes and AUKUS commitments. Lore — the epistemic counterweight that might generate analytical resistance to the Shield's dominance — has been progressively weakened through university funding cuts, the hollowing of independent foreign policy expertise, the displacement of Australia's China studies community, and the institutional capture of the think tank sector by security-aligned funding.</w:t>
      </w:r>
    </w:p>
    <w:p>
      <w:pPr>
        <w:spacing w:after="180" w:line="280"/>
      </w:pPr>
      <w:r>
        <w:rPr>
          <w:rFonts w:ascii="Georgia" w:cs="Georgia" w:eastAsia="Georgia" w:hAnsi="Georgia"/>
          <w:sz w:val="24"/>
          <w:szCs w:val="24"/>
        </w:rPr>
        <w:t xml:space="preserve">The result is a node architecture in which the system most likely to challenge the Flow Paradox explicitly — the Lore institutions that carry independent economic and strategic expertise — is the system that has been most systematically degraded. The contradiction between selling to your designated enemy and calling them your designated enemy is real, but it requires Lore to name it clearly. When Lore is weak, the contradiction exists in the data but not in the public discourse.</w:t>
      </w:r>
    </w:p>
    <w:p>
      <w:pPr>
        <w:pStyle w:val="Heading3"/>
        <w:spacing w:after="160" w:before="320"/>
      </w:pPr>
      <w:r>
        <w:rPr>
          <w:rFonts w:ascii="Calibri" w:cs="Calibri" w:eastAsia="Calibri" w:hAnsi="Calibri"/>
          <w:b/>
          <w:bCs/>
          <w:sz w:val="24"/>
          <w:szCs w:val="24"/>
        </w:rPr>
        <w:t xml:space="preserve">What an Honest Reckoning Would Require</w:t>
      </w:r>
    </w:p>
    <w:p>
      <w:pPr>
        <w:spacing w:after="180" w:line="280"/>
      </w:pPr>
      <w:r>
        <w:rPr>
          <w:rFonts w:ascii="Georgia" w:cs="Georgia" w:eastAsia="Georgia" w:hAnsi="Georgia"/>
          <w:sz w:val="24"/>
          <w:szCs w:val="24"/>
        </w:rPr>
        <w:t xml:space="preserve">The Flow Paradox, named plainly, resolves into a set of questions that Australian strategic culture has declined to ask publicly. Can a country simultaneously prepare, with escalating institutional seriousness, for armed conflict with an entity and maintain a trade relationship with it that funds the military spending required for that preparation? At what point does the Mythic-Material decoupling become large enough to destabilise the material exchange itself? What is the cost, in terms of the Lore institutions that carry independent strategic expertise, of maintaining the current ambiguity?</w:t>
      </w:r>
    </w:p>
    <w:p>
      <w:pPr>
        <w:spacing w:after="180" w:line="280"/>
      </w:pPr>
      <w:r>
        <w:rPr>
          <w:rFonts w:ascii="Georgia" w:cs="Georgia" w:eastAsia="Georgia" w:hAnsi="Georgia"/>
          <w:sz w:val="24"/>
          <w:szCs w:val="24"/>
        </w:rPr>
        <w:t xml:space="preserve">These are not rhetorical questions. They are my CAMS questions — questions about node relationships, stress levels, and the sustainability of the current institutional configuration. The trade geography remains stubbornly Asian. The security identity remains stubbornly Anglospheric. The distance between the two is, in my CAMS accounting, the measure of the problem. And it is measurable, which means it cannot be argued away. The ledger is open. The ships are moving. And the parliament that votes the submarine budget is funded, in no small part, by the royalties that flow from selling iron ore to the country the submarines are, explicitly, designed to deter.</w:t>
      </w:r>
    </w:p>
    <w:p>
      <w:pPr>
        <w:spacing w:after="180" w:line="280"/>
      </w:pPr>
      <w:r>
        <w:rPr>
          <w:rFonts w:ascii="Georgia" w:cs="Georgia" w:eastAsia="Georgia" w:hAnsi="Georgia"/>
          <w:sz w:val="24"/>
          <w:szCs w:val="24"/>
        </w:rPr>
        <w:t xml:space="preserve">This is the Flow Paradox, fully stated. It does not resolve comfortably. It is designed to be held in view.</w:t>
      </w:r>
    </w:p>
    <w:p>
      <w:pPr>
        <w:spacing w:after="120"/>
      </w:pPr>
      <w:r>
        <w:rPr>
          <w:rFonts w:ascii="Georgia" w:cs="Georgia" w:eastAsia="Georgia" w:hAnsi="Georgia"/>
          <w:i/>
          <w:iCs/>
          <w:sz w:val="20"/>
          <w:szCs w:val="20"/>
        </w:rPr>
        <w:t xml:space="preserve">Kari Freyr McKern is an independent researcher and systems analyst based in Ashfield, New South Wales. This essay is the fourth in The Borrowed Nation series. The CAMS framework and all cited datasets are available at neuralnations.org and github.com/KaliBond/wintermute. ORCID: 0009-0007-9045-0505.</w:t>
      </w:r>
    </w:p>
    <w:p>
      <w:r>
        <w:br w:type="page"/>
      </w:r>
    </w:p>
    <w:p>
      <w:pPr>
        <w:spacing w:after="120"/>
        <w:jc w:val="center"/>
      </w:pPr>
      <w:r>
        <w:rPr>
          <w:rFonts w:ascii="Calibri" w:cs="Calibri" w:eastAsia="Calibri" w:hAnsi="Calibri"/>
          <w:b/>
          <w:bCs/>
          <w:sz w:val="26"/>
          <w:szCs w:val="26"/>
        </w:rPr>
        <w:t xml:space="preserve">Essay Five</w:t>
      </w:r>
    </w:p>
    <w:p>
      <w:pPr>
        <w:pStyle w:val="Heading1"/>
        <w:spacing w:after="240" w:before="0"/>
      </w:pPr>
      <w:r>
        <w:rPr>
          <w:rFonts w:ascii="Calibri" w:cs="Calibri" w:eastAsia="Calibri" w:hAnsi="Calibri"/>
          <w:b/>
          <w:bCs/>
          <w:sz w:val="40"/>
          <w:szCs w:val="40"/>
        </w:rPr>
        <w:t xml:space="preserve">The Road Not Taken</w:t>
      </w:r>
    </w:p>
    <w:p>
      <w:pPr>
        <w:pStyle w:val="Heading2"/>
        <w:spacing w:after="200" w:before="480"/>
      </w:pPr>
      <w:r>
        <w:rPr>
          <w:rFonts w:ascii="Calibri" w:cs="Calibri" w:eastAsia="Calibri" w:hAnsi="Calibri"/>
          <w:b/>
          <w:bCs/>
          <w:sz w:val="28"/>
          <w:szCs w:val="28"/>
        </w:rPr>
        <w:t xml:space="preserve">A Multiverse History of the Comprehensive Strategic Partnership</w:t>
      </w:r>
    </w:p>
    <w:p>
      <w:pPr>
        <w:spacing w:after="120" w:before="60"/>
      </w:pPr>
      <w:r>
        <w:rPr>
          <w:rFonts w:ascii="Calibri" w:cs="Calibri" w:eastAsia="Calibri" w:hAnsi="Calibri"/>
          <w:b/>
          <w:bCs/>
          <w:sz w:val="22"/>
          <w:szCs w:val="22"/>
        </w:rPr>
        <w:t xml:space="preserve">By Kari Freyr McKern | Epiphenomenon@Trove Research Project | August 2026</w:t>
      </w:r>
    </w:p>
    <w:p>
      <w:pPr>
        <w:spacing w:after="240"/>
      </w:pPr>
      <w:r>
        <w:rPr>
          <w:rFonts w:ascii="Georgia" w:cs="Georgia" w:eastAsia="Georgia" w:hAnsi="Georgia"/>
          <w:sz w:val="24"/>
          <w:szCs w:val="24"/>
        </w:rPr>
        <w:t xml:space="preserve"/>
      </w:r>
    </w:p>
    <w:p>
      <w:pPr>
        <w:pStyle w:val="Heading3"/>
        <w:spacing w:after="160" w:before="320"/>
      </w:pPr>
      <w:r>
        <w:rPr>
          <w:rFonts w:ascii="Calibri" w:cs="Calibri" w:eastAsia="Calibri" w:hAnsi="Calibri"/>
          <w:b/>
          <w:bCs/>
          <w:sz w:val="24"/>
          <w:szCs w:val="24"/>
        </w:rPr>
        <w:t xml:space="preserve">A Note on Method</w:t>
      </w:r>
    </w:p>
    <w:p>
      <w:pPr>
        <w:spacing w:after="180" w:line="280"/>
      </w:pPr>
      <w:r>
        <w:rPr>
          <w:rFonts w:ascii="Georgia" w:cs="Georgia" w:eastAsia="Georgia" w:hAnsi="Georgia"/>
          <w:sz w:val="24"/>
          <w:szCs w:val="24"/>
        </w:rPr>
        <w:t xml:space="preserve">This essay is speculative history of a disciplined kind. It begins from a documented event — the signing of the China-Australia Comprehensive Strategic Partnership on 17 November 2014, and the speech Xi Jinping delivered that same day to a joint sitting of the Australian Parliament — and asks what the CAMS node architecture of Australian society would look like today had the vision outlined in that speech been allowed to develop, rather than being progressively dismantled by the sequence of institutional choices traced in the preceding essays.</w:t>
      </w:r>
    </w:p>
    <w:p>
      <w:pPr>
        <w:spacing w:after="180" w:line="280"/>
      </w:pPr>
      <w:r>
        <w:rPr>
          <w:rFonts w:ascii="Georgia" w:cs="Georgia" w:eastAsia="Georgia" w:hAnsi="Georgia"/>
          <w:sz w:val="24"/>
          <w:szCs w:val="24"/>
        </w:rPr>
        <w:t xml:space="preserve">Speculative history of this kind is not fiction. It is counterfactual analysis — a methodology with a long and respectable pedigree in the philosophy of history and in complex systems science, where it functions as a tool for isolating causal pathways by constructing the alternative. What did the path not taken require of Australia? What structural consequences followed from the choice that was made? The multiverse frame is a literary device. The causal analysis beneath it is real.</w:t>
      </w:r>
    </w:p>
    <w:p>
      <w:pPr>
        <w:pStyle w:val="Heading3"/>
        <w:spacing w:after="160" w:before="320"/>
      </w:pPr>
      <w:r>
        <w:rPr>
          <w:rFonts w:ascii="Calibri" w:cs="Calibri" w:eastAsia="Calibri" w:hAnsi="Calibri"/>
          <w:b/>
          <w:bCs/>
          <w:sz w:val="24"/>
          <w:szCs w:val="24"/>
        </w:rPr>
        <w:t xml:space="preserve">The Speech and the Partnership: What Was Actually Signed</w:t>
      </w:r>
    </w:p>
    <w:p>
      <w:pPr>
        <w:spacing w:after="180" w:line="280"/>
      </w:pPr>
      <w:r>
        <w:rPr>
          <w:rFonts w:ascii="Georgia" w:cs="Georgia" w:eastAsia="Georgia" w:hAnsi="Georgia"/>
          <w:sz w:val="24"/>
          <w:szCs w:val="24"/>
        </w:rPr>
        <w:t xml:space="preserve">It is necessary, before entering the speculative history, to establish precisely what was on the table in November 2014. The document was not vague. The vision was not merely diplomatic formality. Xi Jinping's speech to the Australian Parliament — entitled "Pursuing Chinese and Australian Development Dreams Hand in Hand and Achieving Regional Prosperity and Stability Shoulder to Shoulder" — set out a programme with four specific structural pillars, which Xi called the Four Bonds: mutual trust, economic interests, people-to-people exchange, and strategic dialogue.</w:t>
      </w:r>
    </w:p>
    <w:p>
      <w:pPr>
        <w:spacing w:after="180" w:line="280"/>
      </w:pPr>
      <w:r>
        <w:rPr>
          <w:rFonts w:ascii="Georgia" w:cs="Georgia" w:eastAsia="Georgia" w:hAnsi="Georgia"/>
          <w:sz w:val="24"/>
          <w:szCs w:val="24"/>
        </w:rPr>
        <w:t xml:space="preserve">On the same day, a series of concrete agreements were signed or witnessed by Abbott and Xi personally: the conclusion of ChAFTA negotiations (formally signed in June 2015); the establishment of a renminbi clearing bank in Sydney; an RMB 50 billion Renminbi Qualified Foreign Institutional Investor (RQFII) quota; agreements on Antarctic cooperation; education cooperation and mutual recognition of higher education qualifications; and the elevation of the bilateral relationship to the formal status of "Comprehensive Strategic Partnership."</w:t>
      </w:r>
    </w:p>
    <w:p>
      <w:pPr>
        <w:spacing w:after="180" w:line="280"/>
      </w:pPr>
      <w:r>
        <w:rPr>
          <w:rFonts w:ascii="Georgia" w:cs="Georgia" w:eastAsia="Georgia" w:hAnsi="Georgia"/>
          <w:sz w:val="24"/>
          <w:szCs w:val="24"/>
        </w:rPr>
        <w:t xml:space="preserve">Xi's speech addressed the question of Chinese power directly and with an unusual degree of epistemic self-awareness. "China is a large country of over 1.3 billion people," he told the parliament. "It is like a big guy in the crowd. Others will naturally wonder how the big guy will move and act, and be concerned that the big guy may push them around, stand in their way or take up their place." He then dismissed those concerns on structural grounds: that a warlike state "however big it may be, will eventually fall"; that "a harmonious and stable domestic environment and a peaceful international environment are what China needs most"; and that "the world is big enough for all of us to grow together."</w:t>
      </w:r>
    </w:p>
    <w:p>
      <w:pPr>
        <w:spacing w:after="180" w:line="280"/>
      </w:pPr>
      <w:r>
        <w:rPr>
          <w:rFonts w:ascii="Georgia" w:cs="Georgia" w:eastAsia="Georgia" w:hAnsi="Georgia"/>
          <w:sz w:val="24"/>
          <w:szCs w:val="24"/>
        </w:rPr>
        <w:t xml:space="preserve">In my CAMS terms, these are Helm-level commitments that constrain the Lore and Shield nodes of the Chinese system, and they were delivered in a parliamentary chamber, on the record, witnessed by the legislature of the partner state. The question for this essay is simple: what if they had been taken seriously?</w:t>
      </w:r>
    </w:p>
    <w:p>
      <w:pPr>
        <w:pStyle w:val="Heading3"/>
        <w:spacing w:after="160" w:before="320"/>
      </w:pPr>
      <w:r>
        <w:rPr>
          <w:rFonts w:ascii="Calibri" w:cs="Calibri" w:eastAsia="Calibri" w:hAnsi="Calibri"/>
          <w:b/>
          <w:bCs/>
          <w:sz w:val="24"/>
          <w:szCs w:val="24"/>
        </w:rPr>
        <w:t xml:space="preserve">The Point of Divergence: 2015–2017</w:t>
      </w:r>
    </w:p>
    <w:p>
      <w:pPr>
        <w:spacing w:after="180" w:line="280"/>
      </w:pPr>
      <w:r>
        <w:rPr>
          <w:rFonts w:ascii="Georgia" w:cs="Georgia" w:eastAsia="Georgia" w:hAnsi="Georgia"/>
          <w:sz w:val="24"/>
          <w:szCs w:val="24"/>
        </w:rPr>
        <w:t xml:space="preserve">In the actual timeline, the partnership began deteriorating almost immediately after it was signed, for reasons traced in the preceding essays. The managed threat ecology — the institutional infrastructure for producing China-threat discourse — was already operational in embryonic form inside the Five Eyes network, and it accelerated sharply after the 2016 US election and the emergence of a bipartisan Washington consensus that China was a systemic rival rather than a strategic partner.</w:t>
      </w:r>
    </w:p>
    <w:p>
      <w:pPr>
        <w:spacing w:after="180" w:line="280"/>
      </w:pPr>
      <w:r>
        <w:rPr>
          <w:rFonts w:ascii="Georgia" w:cs="Georgia" w:eastAsia="Georgia" w:hAnsi="Georgia"/>
          <w:sz w:val="24"/>
          <w:szCs w:val="24"/>
        </w:rPr>
        <w:t xml:space="preserve">In the multiverse I am examining, the divergence point is 2016. The Turnbull government, on coming to power in September 2015, faces the same intelligence pressures but makes a different institutional choice. Rather than allowing the Five Eyes framework to override the bilateral Comprehensive Strategic Partnership, the Helm uses the partnership as the governing framework for managing the relationship — treating it as the instrument through which tensions are processed rather than the obstacle that security concerns must overcome.</w:t>
      </w:r>
    </w:p>
    <w:p>
      <w:pPr>
        <w:pStyle w:val="Heading3"/>
        <w:spacing w:after="160" w:before="320"/>
      </w:pPr>
      <w:r>
        <w:rPr>
          <w:rFonts w:ascii="Calibri" w:cs="Calibri" w:eastAsia="Calibri" w:hAnsi="Calibri"/>
          <w:b/>
          <w:bCs/>
          <w:sz w:val="24"/>
          <w:szCs w:val="24"/>
        </w:rPr>
        <w:t xml:space="preserve">The Alternative Timeline: 2017–2026</w:t>
      </w:r>
    </w:p>
    <w:p>
      <w:pPr>
        <w:spacing w:after="180" w:line="280"/>
      </w:pPr>
      <w:r>
        <w:rPr>
          <w:rFonts w:ascii="Georgia" w:cs="Georgia" w:eastAsia="Georgia" w:hAnsi="Georgia"/>
          <w:sz w:val="24"/>
          <w:szCs w:val="24"/>
        </w:rPr>
        <w:t xml:space="preserve">2017. Malcolm Turnbull declines to join the US-coordinated signals intelligence escalation around Chinese telecommunications infrastructure. The Huawei decision is deferred for a bilateral review rather than a unilateral ban. The foreign interference legislation proceeds in a modified form that targets genuine covert operations without the broad chilling effect on Chinese-Australian community organisations and academic exchange that the actual legislation produced. Australia votes against the establishment of the Quad in its 2017 revival, citing its existing strategic dialogue framework with China under the Four Bonds as the appropriate regional mechanism.</w:t>
      </w:r>
    </w:p>
    <w:p>
      <w:pPr>
        <w:spacing w:after="180" w:line="280"/>
      </w:pPr>
      <w:r>
        <w:rPr>
          <w:rFonts w:ascii="Georgia" w:cs="Georgia" w:eastAsia="Georgia" w:hAnsi="Georgia"/>
          <w:sz w:val="24"/>
          <w:szCs w:val="24"/>
        </w:rPr>
        <w:t xml:space="preserve">2018. The renminbi clearing hub in Sydney expands into a regional RMB settlement centre for Southeast Asian trade. Australian universities, freed from the foreign interference chill of the actual timeline, deepen research partnerships with Chinese institutions across clean energy, materials science, and agricultural technology. The Chinese-Australian academic community — which in the actual timeline began a period of self-censorship and exit — remains active and institutionally embedded. Australia's China studies capacity, instead of contracting, expands.</w:t>
      </w:r>
    </w:p>
    <w:p>
      <w:pPr>
        <w:spacing w:after="180" w:line="280"/>
      </w:pPr>
      <w:r>
        <w:rPr>
          <w:rFonts w:ascii="Georgia" w:cs="Georgia" w:eastAsia="Georgia" w:hAnsi="Georgia"/>
          <w:sz w:val="24"/>
          <w:szCs w:val="24"/>
        </w:rPr>
        <w:t xml:space="preserve">2019. The Pacific infrastructure competition that in the actual timeline became a site of explicit Australia-China proxy rivalry is instead managed through a joint financing mechanism: Australian expertise in resource project management combined with Chinese Belt and Road capital, structured through the Asian Infrastructure Investment Bank in which Australia holds a founding member stake. Vanuatu, Tonga, and the Solomon Islands receive infrastructure investment that reduces their fiscal dependency on any single external patron. The "Pacific Step-Up" is still announced, but it is a genuinely multilateral initiative rather than a containment instrument.</w:t>
      </w:r>
    </w:p>
    <w:p>
      <w:pPr>
        <w:spacing w:after="180" w:line="280"/>
      </w:pPr>
      <w:r>
        <w:rPr>
          <w:rFonts w:ascii="Georgia" w:cs="Georgia" w:eastAsia="Georgia" w:hAnsi="Georgia"/>
          <w:sz w:val="24"/>
          <w:szCs w:val="24"/>
        </w:rPr>
        <w:t xml:space="preserve">2020. COVID-19 arrives in both timelines. The critical divergence: in the multiverse, Australia does not coordinate with Washington on the COVID-origins inquiry without prior bilateral consultation. Instead, the Four Bonds strategic dialogue framework is activated — a quiet diplomatic channel proposes a WHO review that China can participate in rather than the public demand-and-rebuff sequence of the actual timeline. There are no trade retaliations. There are no 80% barley tariffs. The bilateral relationship sustains the strain of the pandemic because the mythic substrate — the partnership narrative — has been maintained and invested in for five years. The Mythic-Material Coupling Index remains high precisely when it is most needed.</w:t>
      </w:r>
    </w:p>
    <w:p>
      <w:pPr>
        <w:spacing w:after="180" w:line="280"/>
      </w:pPr>
      <w:r>
        <w:rPr>
          <w:rFonts w:ascii="Georgia" w:cs="Georgia" w:eastAsia="Georgia" w:hAnsi="Georgia"/>
          <w:sz w:val="24"/>
          <w:szCs w:val="24"/>
        </w:rPr>
        <w:t xml:space="preserve">2021. The multiverse divergence reaches its most consequential point. AUKUS is not announced. The Morrison government — which in the actual timeline used the AUKUS announcement as a decisive break from strategic ambiguity — does not exist in this form, because the domestic political economy of the Comprehensive Strategic Partnership has changed the electoral calculus of national security politics. The Australia-France submarine contract is honoured. The relationship with Paris, badly damaged in the actual timeline by the AUKUS revelation, remains intact. Australia instead announces a Defence Partnership Review that expands indigenous defence manufacturing (Craft node development), increases the defence budget toward 2.5% of GDP over ten years (Shield node investment), but structures that investment explicitly around regional stability frameworks rather than an adversarial bilateral posture. The language of "deterrence" is replaced by the language of "strategic autonomy."</w:t>
      </w:r>
    </w:p>
    <w:p>
      <w:pPr>
        <w:spacing w:after="180" w:line="280"/>
      </w:pPr>
      <w:r>
        <w:rPr>
          <w:rFonts w:ascii="Georgia" w:cs="Georgia" w:eastAsia="Georgia" w:hAnsi="Georgia"/>
          <w:sz w:val="24"/>
          <w:szCs w:val="24"/>
        </w:rPr>
        <w:t xml:space="preserve">2022–2023. The Ukraine war arrives in both timelines. In the multiverse, Australia's response is structurally different: a country with an active strategic dialogue channel with China is able to communicate clearly that its condemnation of the Russian invasion does not represent a generalised anti-authoritarian ideological posture, and to ask — quietly, through the Four Bonds channel — for Chinese pressure on Moscow. The actual timeline forecloses this channel entirely because the bilateral relationship has been so thoroughly adversarialised that China would not receive such a communication from Canberra without suspicion.</w:t>
      </w:r>
    </w:p>
    <w:p>
      <w:pPr>
        <w:spacing w:after="180" w:line="280"/>
      </w:pPr>
      <w:r>
        <w:rPr>
          <w:rFonts w:ascii="Georgia" w:cs="Georgia" w:eastAsia="Georgia" w:hAnsi="Georgia"/>
          <w:sz w:val="24"/>
          <w:szCs w:val="24"/>
        </w:rPr>
        <w:t xml:space="preserve">2024. Taiwan tensions rise in both timelines — this is driven by Taiwanese domestic politics and US electoral dynamics, not by the Australia-China bilateral relationship. In the multiverse, however, Australia is not rhetorically pre-committed to a US defence posture that treats a Taiwan contingency as an inevitable test of alliance loyalty. The Helm has maintained the strategic ambiguity that the actual timeline abandoned, and that ambiguity — frustrating to Washington, tolerable to Beijing — is precisely the condition that gives Australia diplomatic agency rather than constraining it to a scripted role in someone else's confrontation.</w:t>
      </w:r>
    </w:p>
    <w:p>
      <w:pPr>
        <w:spacing w:after="180" w:line="280"/>
      </w:pPr>
      <w:r>
        <w:rPr>
          <w:rFonts w:ascii="Georgia" w:cs="Georgia" w:eastAsia="Georgia" w:hAnsi="Georgia"/>
          <w:sz w:val="24"/>
          <w:szCs w:val="24"/>
        </w:rPr>
        <w:t xml:space="preserve">2025. In the multiverse, Australia's CAMS node profile looks structurally different from the actual timeline. Flow Stress, instead of the 1.65-point increase measured in my actual research, has remained stable — the trade relationship's mythic substrate has been maintained, the normative capital of the partnership has been reinvested rather than drawn down. Lore has expanded: the China studies community is larger, more active, and less self-censored; the think tank sector is less captured by security-aligned funding; independent foreign policy expertise still exists in institutional form. The Shield node has grown but in a direction — strategic autonomy, indigenous capability — that does not require adversarial framing to justify.</w:t>
      </w:r>
    </w:p>
    <w:p>
      <w:pPr>
        <w:spacing w:after="180" w:line="280"/>
      </w:pPr>
      <w:r>
        <w:rPr>
          <w:rFonts w:ascii="Georgia" w:cs="Georgia" w:eastAsia="Georgia" w:hAnsi="Georgia"/>
          <w:sz w:val="24"/>
          <w:szCs w:val="24"/>
        </w:rPr>
        <w:t xml:space="preserve">2026 — the present of the multiverse. In this version of 2026, Australia is navigating a world of genuine great-power tension without having pre-committed its strategic posture to a single patron's framework. It trades with China — more, not less, because ChAFTA has had twelve years to mature. It maintains defence relationships with the United States and its Five Eyes partners, but as a sovereign participant rather than an embedded node. It has an independent foreign policy voice in regional institutions, including ASEAN Plus frameworks and the AIIB, because it never destroyed its credibility as a regional actor by performing ideological alignment as a substitute for strategic thinking. It has submarines — Australian-built, conventionally powered — that serve its genuine regional defence requirements without being the forward-deployed instrument of a distant great power.</w:t>
      </w:r>
    </w:p>
    <w:p>
      <w:pPr>
        <w:spacing w:after="180" w:line="280"/>
      </w:pPr>
      <w:r>
        <w:rPr>
          <w:rFonts w:ascii="Georgia" w:cs="Georgia" w:eastAsia="Georgia" w:hAnsi="Georgia"/>
          <w:sz w:val="24"/>
          <w:szCs w:val="24"/>
        </w:rPr>
        <w:t xml:space="preserve">Xi Jinping's 2014 framing has aged better than most strategic commentary of that era. The world was, in fact, big enough for all of them to grow in, had the institutional choices been made to act on that premise.</w:t>
      </w:r>
    </w:p>
    <w:p>
      <w:pPr>
        <w:pStyle w:val="Heading3"/>
        <w:spacing w:after="160" w:before="320"/>
      </w:pPr>
      <w:r>
        <w:rPr>
          <w:rFonts w:ascii="Calibri" w:cs="Calibri" w:eastAsia="Calibri" w:hAnsi="Calibri"/>
          <w:b/>
          <w:bCs/>
          <w:sz w:val="24"/>
          <w:szCs w:val="24"/>
        </w:rPr>
        <w:t xml:space="preserve">My CAMS Reading of the Divergence</w:t>
      </w:r>
    </w:p>
    <w:p>
      <w:pPr>
        <w:spacing w:after="180" w:line="280"/>
      </w:pPr>
      <w:r>
        <w:rPr>
          <w:rFonts w:ascii="Georgia" w:cs="Georgia" w:eastAsia="Georgia" w:hAnsi="Georgia"/>
          <w:sz w:val="24"/>
          <w:szCs w:val="24"/>
        </w:rPr>
        <w:t xml:space="preserve">Expressed in my CAMS terms, the multiverse divergence is a story about the Helm's choice between two node development trajectories following the 2014 partnership agreement.</w:t>
      </w:r>
    </w:p>
    <w:p>
      <w:pPr>
        <w:spacing w:after="180" w:line="280"/>
      </w:pPr>
      <w:r>
        <w:rPr>
          <w:rFonts w:ascii="Georgia" w:cs="Georgia" w:eastAsia="Georgia" w:hAnsi="Georgia"/>
          <w:sz w:val="24"/>
          <w:szCs w:val="24"/>
        </w:rPr>
        <w:t xml:space="preserve">Trajectory A — the actual timeline — chose Shield amplification as the primary response to uncertainty. It funded the managed threat ecology, deepened Five Eyes embedding, weaponised the Lore institutions through security-aligned funding, and allowed Flow Stress to accumulate as the price of maintaining the security architecture. The result, measured across the post-2017 period, is a high-Shield, high-Helm-ARG, low-Lore, high-Flow-Stress configuration: a society whose security apparatus has outrun its epistemic capacity to evaluate what it is securing against.</w:t>
      </w:r>
    </w:p>
    <w:p>
      <w:pPr>
        <w:spacing w:after="180" w:line="280"/>
      </w:pPr>
      <w:r>
        <w:rPr>
          <w:rFonts w:ascii="Georgia" w:cs="Georgia" w:eastAsia="Georgia" w:hAnsi="Georgia"/>
          <w:sz w:val="24"/>
          <w:szCs w:val="24"/>
        </w:rPr>
        <w:t xml:space="preserve">Trajectory B — the multiverse — chose balanced node investment. Shield grew, but so did Lore (independent expertise) and Archive (institutional memory of the partnership's history and potential). The Helm maintained a lower Abstraction-Reality Gap by keeping the symbolic narrative of partnership closer to the material reality of trade geography. Flow Stress remained manageable because the mythic substrate of the relationship was maintained through the Four Bonds framework. The Loss of Coherence Multiplier — my CAMS measure of systemic degradation — stayed higher across all nodes because none of the nodes were driven into structural conflict with the others.</w:t>
      </w:r>
    </w:p>
    <w:p>
      <w:pPr>
        <w:spacing w:after="180" w:line="280"/>
      </w:pPr>
      <w:r>
        <w:rPr>
          <w:rFonts w:ascii="Georgia" w:cs="Georgia" w:eastAsia="Georgia" w:hAnsi="Georgia"/>
          <w:sz w:val="24"/>
          <w:szCs w:val="24"/>
        </w:rPr>
        <w:t xml:space="preserve">This is the deepest lesson of the speculative exercise. The Flow Paradox documented in Essay Four is not an inevitable feature of Australia's strategic situation. It is the output of a specific sequence of institutional choices made between 2016 and 2022. Those choices were not random. They were driven by the structural pull of alliance dependency, the managed threat ecology, and the progressive capture of the Lore institutions that might have generated resistance. But they were choices. The multiverse demonstrates, by contrast, that the materials for a different outcome existed — in the signed partnership, in the Four Bonds framework, in the trade geography that had always pointed toward regional integration, in Xi Jinping's own speech, delivered to the Australian Parliament on record, in which he proposed precisely the relationship that was subsequently dismantled.</w:t>
      </w:r>
    </w:p>
    <w:p>
      <w:pPr>
        <w:pStyle w:val="Heading3"/>
        <w:spacing w:after="160" w:before="320"/>
      </w:pPr>
      <w:r>
        <w:rPr>
          <w:rFonts w:ascii="Calibri" w:cs="Calibri" w:eastAsia="Calibri" w:hAnsi="Calibri"/>
          <w:b/>
          <w:bCs/>
          <w:sz w:val="24"/>
          <w:szCs w:val="24"/>
        </w:rPr>
        <w:t xml:space="preserve">A Final Note on Speculation</w:t>
      </w:r>
    </w:p>
    <w:p>
      <w:pPr>
        <w:spacing w:after="180" w:line="280"/>
      </w:pPr>
      <w:r>
        <w:rPr>
          <w:rFonts w:ascii="Georgia" w:cs="Georgia" w:eastAsia="Georgia" w:hAnsi="Georgia"/>
          <w:sz w:val="24"/>
          <w:szCs w:val="24"/>
        </w:rPr>
        <w:t xml:space="preserve">Speculative history of this kind will be objected to on the grounds that it is too easy — that constructing a counterfactual that favours a preferred outcome is no different from wishful thinking wearing scholarly clothing. The objection is not without force.</w:t>
      </w:r>
    </w:p>
    <w:p>
      <w:pPr>
        <w:spacing w:after="180" w:line="280"/>
      </w:pPr>
      <w:r>
        <w:rPr>
          <w:rFonts w:ascii="Georgia" w:cs="Georgia" w:eastAsia="Georgia" w:hAnsi="Georgia"/>
          <w:sz w:val="24"/>
          <w:szCs w:val="24"/>
        </w:rPr>
        <w:t xml:space="preserve">The response is methodological. This essay does not argue that the multiverse outcome was inevitable, or that the partnership would have unfolded without friction, or that Chinese strategic behaviour would have remained unproblematic. The Four Bonds framework was a diplomatic aspiration, not a structural guarantee. Xi Jinping's parliament speech contained, alongside its visions of partnership, explicit assertions that China "will firmly uphold the core interests of China's sovereignty, security and territorial integrity" — a framing that leaves considerable room for the South China Sea behaviour, the Hong Kong actions, and the Taiwan pressure that occurred in both timelines. The multiverse is not a frictionless paradise. It is a different configuration of the same structural forces, managed through different institutional choices.</w:t>
      </w:r>
    </w:p>
    <w:p>
      <w:pPr>
        <w:spacing w:after="180" w:line="280"/>
      </w:pPr>
      <w:r>
        <w:rPr>
          <w:rFonts w:ascii="Georgia" w:cs="Georgia" w:eastAsia="Georgia" w:hAnsi="Georgia"/>
          <w:sz w:val="24"/>
          <w:szCs w:val="24"/>
        </w:rPr>
        <w:t xml:space="preserve">What my CAMS framework offers that pure speculative history does not is a structural accounting: a way of measuring not just what might have happened, but what the node-level architecture of the alternative trajectory would have required, and what the costs of not taking it demonstrably are. Those costs are real and measurable in the actual timeline. The multiverse is the instrument that makes them visible by contrast.</w:t>
      </w:r>
    </w:p>
    <w:p>
      <w:pPr>
        <w:spacing w:after="180" w:line="280"/>
      </w:pPr>
      <w:r>
        <w:rPr>
          <w:rFonts w:ascii="Georgia" w:cs="Georgia" w:eastAsia="Georgia" w:hAnsi="Georgia"/>
          <w:sz w:val="24"/>
          <w:szCs w:val="24"/>
        </w:rPr>
        <w:t xml:space="preserve">The telescope does not tell you which way to point it. But once you have looked, you cannot honestly pretend you have not seen.</w:t>
      </w:r>
    </w:p>
    <w:p>
      <w:pPr>
        <w:spacing w:after="180" w:line="280"/>
      </w:pPr>
      <w:r>
        <w:rPr>
          <w:rFonts w:ascii="Georgia" w:cs="Georgia" w:eastAsia="Georgia" w:hAnsi="Georgia"/>
          <w:sz w:val="24"/>
          <w:szCs w:val="24"/>
        </w:rPr>
        <w:t xml:space="preserve">The road was there. It was not taken.</w:t>
      </w:r>
    </w:p>
    <w:p>
      <w:pPr>
        <w:spacing w:after="120"/>
      </w:pPr>
      <w:r>
        <w:rPr>
          <w:rFonts w:ascii="Georgia" w:cs="Georgia" w:eastAsia="Georgia" w:hAnsi="Georgia"/>
          <w:i/>
          <w:iCs/>
          <w:sz w:val="20"/>
          <w:szCs w:val="20"/>
        </w:rPr>
        <w:t xml:space="preserve">Kari Freyr McKern is an independent researcher and systems analyst based in Ashfield, New South Wales. This essay is the fifth in The Borrowed Nation series. The CAMS framework and all cited datasets are available at neuralnations.org and github.com/KaliBond/wintermute. ORCID: 0009-0007-9045-0505.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2026-08-24T14:38:15.678Z</dcterms:created>
  <dcterms:modified xsi:type="dcterms:W3CDTF">2026-08-24T14:38:15.679Z</dcterms:modified>
</cp:coreProperties>
</file>

<file path=docProps/custom.xml><?xml version="1.0" encoding="utf-8"?>
<Properties xmlns="http://schemas.openxmlformats.org/officeDocument/2006/custom-properties" xmlns:vt="http://schemas.openxmlformats.org/officeDocument/2006/docPropsVTypes"/>
</file>